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B04" w:rsidRDefault="002B3B04">
      <w:pPr>
        <w:tabs>
          <w:tab w:val="left" w:pos="7560"/>
        </w:tabs>
        <w:adjustRightInd w:val="0"/>
        <w:snapToGrid w:val="0"/>
        <w:spacing w:line="560" w:lineRule="exact"/>
        <w:jc w:val="left"/>
        <w:rPr>
          <w:rFonts w:ascii="仿宋_GB2312" w:eastAsia="仿宋_GB2312" w:hAnsi="黑体"/>
          <w:sz w:val="32"/>
          <w:szCs w:val="32"/>
        </w:rPr>
      </w:pPr>
    </w:p>
    <w:p w:rsidR="002B3B04" w:rsidRDefault="004D6B1C">
      <w:pPr>
        <w:tabs>
          <w:tab w:val="left" w:pos="7560"/>
        </w:tabs>
        <w:adjustRightInd w:val="0"/>
        <w:snapToGrid w:val="0"/>
        <w:spacing w:line="560" w:lineRule="exact"/>
        <w:jc w:val="center"/>
        <w:rPr>
          <w:rFonts w:ascii="仿宋_GB2312" w:eastAsia="仿宋_GB2312" w:hAnsi="黑体"/>
          <w:sz w:val="32"/>
          <w:szCs w:val="32"/>
        </w:rPr>
      </w:pPr>
      <w:r>
        <w:rPr>
          <w:rFonts w:ascii="仿宋_GB2312" w:eastAsia="仿宋_GB2312" w:hAnsi="黑体" w:hint="eastAsia"/>
          <w:sz w:val="32"/>
          <w:szCs w:val="32"/>
        </w:rPr>
        <w:t xml:space="preserve"> </w:t>
      </w:r>
    </w:p>
    <w:p w:rsidR="002B3B04" w:rsidRDefault="002B3B04">
      <w:pPr>
        <w:pStyle w:val="BodyText1I2"/>
        <w:ind w:firstLine="480"/>
        <w:rPr>
          <w:rFonts w:ascii="仿宋_GB2312" w:eastAsia="仿宋_GB2312"/>
        </w:rPr>
      </w:pPr>
    </w:p>
    <w:p w:rsidR="002B3B04" w:rsidRDefault="002B3B04">
      <w:pPr>
        <w:tabs>
          <w:tab w:val="left" w:pos="7560"/>
        </w:tabs>
        <w:adjustRightInd w:val="0"/>
        <w:snapToGrid w:val="0"/>
        <w:spacing w:line="560" w:lineRule="exact"/>
        <w:jc w:val="center"/>
        <w:rPr>
          <w:rFonts w:ascii="仿宋_GB2312" w:eastAsia="仿宋_GB2312"/>
          <w:sz w:val="44"/>
          <w:szCs w:val="32"/>
        </w:rPr>
      </w:pPr>
    </w:p>
    <w:p w:rsidR="002B3B04" w:rsidRDefault="002B3B04">
      <w:pPr>
        <w:tabs>
          <w:tab w:val="left" w:pos="7560"/>
        </w:tabs>
        <w:adjustRightInd w:val="0"/>
        <w:snapToGrid w:val="0"/>
        <w:spacing w:line="560" w:lineRule="exact"/>
        <w:jc w:val="center"/>
        <w:rPr>
          <w:rFonts w:ascii="仿宋_GB2312" w:eastAsia="仿宋_GB2312"/>
          <w:sz w:val="44"/>
          <w:szCs w:val="32"/>
        </w:rPr>
      </w:pPr>
    </w:p>
    <w:p w:rsidR="002B3B04" w:rsidRDefault="00F739DC">
      <w:pPr>
        <w:tabs>
          <w:tab w:val="left" w:pos="7560"/>
        </w:tabs>
        <w:adjustRightInd w:val="0"/>
        <w:snapToGrid w:val="0"/>
        <w:spacing w:line="560" w:lineRule="exact"/>
        <w:jc w:val="center"/>
        <w:rPr>
          <w:rFonts w:ascii="方正小标宋简体" w:eastAsia="方正小标宋简体" w:hAnsi="宋体"/>
          <w:sz w:val="52"/>
          <w:szCs w:val="52"/>
        </w:rPr>
      </w:pPr>
      <w:r>
        <w:rPr>
          <w:rFonts w:ascii="方正小标宋简体" w:eastAsia="方正小标宋简体" w:hAnsi="宋体" w:hint="eastAsia"/>
          <w:sz w:val="52"/>
          <w:szCs w:val="52"/>
        </w:rPr>
        <w:t xml:space="preserve">   </w:t>
      </w:r>
      <w:r w:rsidR="004D6B1C">
        <w:rPr>
          <w:rFonts w:ascii="方正小标宋简体" w:eastAsia="方正小标宋简体" w:hAnsi="宋体" w:hint="eastAsia"/>
          <w:sz w:val="52"/>
          <w:szCs w:val="52"/>
        </w:rPr>
        <w:t>2022年度株洲市市政工程维护中心整体支出绩效自评报告</w:t>
      </w:r>
    </w:p>
    <w:p w:rsidR="002B3B04" w:rsidRDefault="002B3B04">
      <w:pPr>
        <w:tabs>
          <w:tab w:val="left" w:pos="7560"/>
        </w:tabs>
        <w:adjustRightInd w:val="0"/>
        <w:snapToGrid w:val="0"/>
        <w:spacing w:line="560" w:lineRule="exact"/>
        <w:jc w:val="left"/>
        <w:rPr>
          <w:rFonts w:ascii="宋体" w:hAnsi="宋体"/>
          <w:sz w:val="32"/>
          <w:szCs w:val="32"/>
        </w:rPr>
      </w:pPr>
    </w:p>
    <w:p w:rsidR="002B3B04" w:rsidRDefault="002B3B04">
      <w:pPr>
        <w:tabs>
          <w:tab w:val="left" w:pos="7560"/>
        </w:tabs>
        <w:adjustRightInd w:val="0"/>
        <w:snapToGrid w:val="0"/>
        <w:spacing w:line="560" w:lineRule="exact"/>
        <w:jc w:val="left"/>
        <w:rPr>
          <w:rFonts w:ascii="仿宋_GB2312" w:eastAsia="仿宋_GB2312"/>
          <w:sz w:val="32"/>
          <w:szCs w:val="32"/>
        </w:rPr>
      </w:pPr>
    </w:p>
    <w:p w:rsidR="002B3B04" w:rsidRDefault="002B3B04">
      <w:pPr>
        <w:tabs>
          <w:tab w:val="left" w:pos="7560"/>
        </w:tabs>
        <w:adjustRightInd w:val="0"/>
        <w:snapToGrid w:val="0"/>
        <w:spacing w:line="560" w:lineRule="exact"/>
        <w:jc w:val="left"/>
        <w:rPr>
          <w:rFonts w:ascii="仿宋_GB2312" w:eastAsia="仿宋_GB2312"/>
          <w:sz w:val="32"/>
          <w:szCs w:val="32"/>
        </w:rPr>
      </w:pPr>
    </w:p>
    <w:p w:rsidR="002B3B04" w:rsidRDefault="002B3B04">
      <w:pPr>
        <w:tabs>
          <w:tab w:val="left" w:pos="7560"/>
        </w:tabs>
        <w:adjustRightInd w:val="0"/>
        <w:snapToGrid w:val="0"/>
        <w:spacing w:line="560" w:lineRule="exact"/>
        <w:jc w:val="left"/>
        <w:rPr>
          <w:rFonts w:ascii="仿宋_GB2312" w:eastAsia="仿宋_GB2312"/>
          <w:sz w:val="32"/>
          <w:szCs w:val="32"/>
        </w:rPr>
      </w:pPr>
    </w:p>
    <w:p w:rsidR="002B3B04" w:rsidRDefault="002B3B04">
      <w:pPr>
        <w:tabs>
          <w:tab w:val="left" w:pos="7560"/>
        </w:tabs>
        <w:adjustRightInd w:val="0"/>
        <w:snapToGrid w:val="0"/>
        <w:spacing w:line="560" w:lineRule="exact"/>
        <w:jc w:val="left"/>
        <w:rPr>
          <w:rFonts w:ascii="仿宋_GB2312" w:eastAsia="仿宋_GB2312"/>
          <w:sz w:val="32"/>
          <w:szCs w:val="32"/>
        </w:rPr>
      </w:pPr>
    </w:p>
    <w:p w:rsidR="002B3B04" w:rsidRDefault="002B3B04">
      <w:pPr>
        <w:tabs>
          <w:tab w:val="left" w:pos="7560"/>
        </w:tabs>
        <w:adjustRightInd w:val="0"/>
        <w:snapToGrid w:val="0"/>
        <w:spacing w:line="560" w:lineRule="exact"/>
        <w:jc w:val="left"/>
        <w:rPr>
          <w:rFonts w:ascii="仿宋_GB2312" w:eastAsia="仿宋_GB2312"/>
          <w:sz w:val="32"/>
          <w:szCs w:val="32"/>
        </w:rPr>
      </w:pPr>
    </w:p>
    <w:p w:rsidR="002B3B04" w:rsidRDefault="002B3B04">
      <w:pPr>
        <w:tabs>
          <w:tab w:val="left" w:pos="7560"/>
        </w:tabs>
        <w:adjustRightInd w:val="0"/>
        <w:snapToGrid w:val="0"/>
        <w:spacing w:line="560" w:lineRule="exact"/>
        <w:jc w:val="left"/>
        <w:rPr>
          <w:rFonts w:ascii="仿宋_GB2312" w:eastAsia="仿宋_GB2312"/>
          <w:sz w:val="32"/>
          <w:szCs w:val="32"/>
        </w:rPr>
      </w:pPr>
    </w:p>
    <w:p w:rsidR="002B3B04" w:rsidRDefault="002B3B04">
      <w:pPr>
        <w:tabs>
          <w:tab w:val="left" w:pos="7560"/>
        </w:tabs>
        <w:adjustRightInd w:val="0"/>
        <w:snapToGrid w:val="0"/>
        <w:spacing w:line="560" w:lineRule="exact"/>
        <w:jc w:val="left"/>
        <w:rPr>
          <w:rFonts w:ascii="仿宋_GB2312" w:eastAsia="仿宋_GB2312"/>
          <w:sz w:val="32"/>
          <w:szCs w:val="32"/>
        </w:rPr>
      </w:pPr>
    </w:p>
    <w:p w:rsidR="002B3B04" w:rsidRDefault="002B3B04">
      <w:pPr>
        <w:tabs>
          <w:tab w:val="left" w:pos="7560"/>
        </w:tabs>
        <w:adjustRightInd w:val="0"/>
        <w:snapToGrid w:val="0"/>
        <w:spacing w:line="560" w:lineRule="exact"/>
        <w:jc w:val="left"/>
        <w:rPr>
          <w:rFonts w:ascii="仿宋_GB2312" w:eastAsia="仿宋_GB2312"/>
          <w:sz w:val="32"/>
          <w:szCs w:val="32"/>
        </w:rPr>
      </w:pPr>
    </w:p>
    <w:p w:rsidR="002B3B04" w:rsidRDefault="002B3B04">
      <w:pPr>
        <w:tabs>
          <w:tab w:val="left" w:pos="7560"/>
        </w:tabs>
        <w:adjustRightInd w:val="0"/>
        <w:snapToGrid w:val="0"/>
        <w:spacing w:line="560" w:lineRule="exact"/>
        <w:jc w:val="left"/>
        <w:rPr>
          <w:rFonts w:ascii="仿宋_GB2312" w:eastAsia="仿宋_GB2312"/>
          <w:sz w:val="32"/>
          <w:szCs w:val="32"/>
        </w:rPr>
      </w:pPr>
    </w:p>
    <w:p w:rsidR="002B3B04" w:rsidRDefault="002B3B04">
      <w:pPr>
        <w:tabs>
          <w:tab w:val="left" w:pos="7560"/>
        </w:tabs>
        <w:adjustRightInd w:val="0"/>
        <w:snapToGrid w:val="0"/>
        <w:spacing w:line="560" w:lineRule="exact"/>
        <w:jc w:val="left"/>
        <w:rPr>
          <w:rFonts w:ascii="仿宋_GB2312" w:eastAsia="仿宋_GB2312"/>
          <w:sz w:val="32"/>
          <w:szCs w:val="32"/>
        </w:rPr>
      </w:pPr>
    </w:p>
    <w:p w:rsidR="002B3B04" w:rsidRDefault="002B3B04">
      <w:pPr>
        <w:tabs>
          <w:tab w:val="left" w:pos="7560"/>
        </w:tabs>
        <w:adjustRightInd w:val="0"/>
        <w:snapToGrid w:val="0"/>
        <w:spacing w:line="560" w:lineRule="exact"/>
        <w:jc w:val="left"/>
        <w:rPr>
          <w:rFonts w:ascii="仿宋_GB2312" w:eastAsia="仿宋_GB2312"/>
          <w:sz w:val="32"/>
          <w:szCs w:val="32"/>
        </w:rPr>
      </w:pPr>
    </w:p>
    <w:p w:rsidR="002B3B04" w:rsidRDefault="002B3B04">
      <w:pPr>
        <w:tabs>
          <w:tab w:val="left" w:pos="7560"/>
        </w:tabs>
        <w:adjustRightInd w:val="0"/>
        <w:snapToGrid w:val="0"/>
        <w:spacing w:line="560" w:lineRule="exact"/>
        <w:jc w:val="left"/>
        <w:rPr>
          <w:rFonts w:ascii="仿宋_GB2312" w:eastAsia="仿宋_GB2312"/>
          <w:sz w:val="32"/>
          <w:szCs w:val="32"/>
        </w:rPr>
      </w:pPr>
    </w:p>
    <w:p w:rsidR="002B3B04" w:rsidRDefault="002B3B04">
      <w:pPr>
        <w:tabs>
          <w:tab w:val="left" w:pos="7560"/>
        </w:tabs>
        <w:adjustRightInd w:val="0"/>
        <w:snapToGrid w:val="0"/>
        <w:spacing w:line="560" w:lineRule="exact"/>
        <w:jc w:val="left"/>
        <w:rPr>
          <w:rFonts w:ascii="仿宋_GB2312" w:eastAsia="仿宋_GB2312"/>
          <w:sz w:val="32"/>
          <w:szCs w:val="32"/>
        </w:rPr>
      </w:pPr>
    </w:p>
    <w:p w:rsidR="002B3B04" w:rsidRDefault="002B3B04">
      <w:pPr>
        <w:tabs>
          <w:tab w:val="left" w:pos="7560"/>
        </w:tabs>
        <w:adjustRightInd w:val="0"/>
        <w:snapToGrid w:val="0"/>
        <w:spacing w:line="560" w:lineRule="exact"/>
        <w:jc w:val="left"/>
        <w:rPr>
          <w:rFonts w:ascii="仿宋_GB2312" w:eastAsia="仿宋_GB2312"/>
          <w:sz w:val="32"/>
          <w:szCs w:val="32"/>
        </w:rPr>
      </w:pPr>
    </w:p>
    <w:p w:rsidR="003A0E38" w:rsidRDefault="003A0E38">
      <w:pPr>
        <w:snapToGrid w:val="0"/>
        <w:spacing w:line="560" w:lineRule="exact"/>
        <w:jc w:val="center"/>
        <w:rPr>
          <w:rFonts w:ascii="方正小标宋简体" w:eastAsia="方正小标宋简体"/>
          <w:sz w:val="52"/>
          <w:szCs w:val="44"/>
        </w:rPr>
      </w:pPr>
    </w:p>
    <w:p w:rsidR="00F739DC" w:rsidRDefault="00F739DC" w:rsidP="00F739DC">
      <w:pPr>
        <w:snapToGrid w:val="0"/>
        <w:spacing w:line="560" w:lineRule="exact"/>
        <w:rPr>
          <w:rFonts w:ascii="方正小标宋简体" w:eastAsia="方正小标宋简体" w:hint="eastAsia"/>
          <w:sz w:val="52"/>
          <w:szCs w:val="44"/>
        </w:rPr>
      </w:pPr>
    </w:p>
    <w:p w:rsidR="00F739DC" w:rsidRDefault="00F739DC" w:rsidP="00F739DC">
      <w:pPr>
        <w:snapToGrid w:val="0"/>
        <w:spacing w:line="560" w:lineRule="exact"/>
        <w:rPr>
          <w:rFonts w:ascii="方正小标宋简体" w:eastAsia="方正小标宋简体" w:hint="eastAsia"/>
          <w:sz w:val="52"/>
          <w:szCs w:val="44"/>
        </w:rPr>
      </w:pPr>
    </w:p>
    <w:p w:rsidR="002B3B04" w:rsidRDefault="00F739DC">
      <w:pPr>
        <w:snapToGrid w:val="0"/>
        <w:spacing w:line="560" w:lineRule="exact"/>
        <w:jc w:val="center"/>
        <w:rPr>
          <w:rFonts w:ascii="方正小标宋简体" w:eastAsia="方正小标宋简体"/>
          <w:sz w:val="52"/>
          <w:szCs w:val="44"/>
        </w:rPr>
      </w:pPr>
      <w:r>
        <w:rPr>
          <w:rFonts w:ascii="方正小标宋简体" w:eastAsia="方正小标宋简体" w:hint="eastAsia"/>
          <w:sz w:val="52"/>
          <w:szCs w:val="44"/>
        </w:rPr>
        <w:lastRenderedPageBreak/>
        <w:t xml:space="preserve">   </w:t>
      </w:r>
      <w:r w:rsidR="004D6B1C">
        <w:rPr>
          <w:rFonts w:ascii="方正小标宋简体" w:eastAsia="方正小标宋简体"/>
          <w:sz w:val="52"/>
          <w:szCs w:val="44"/>
        </w:rPr>
        <w:t>2022年度</w:t>
      </w:r>
      <w:r w:rsidR="004D6B1C">
        <w:rPr>
          <w:rFonts w:ascii="方正小标宋简体" w:eastAsia="方正小标宋简体" w:hAnsi="宋体" w:hint="eastAsia"/>
          <w:sz w:val="52"/>
          <w:szCs w:val="52"/>
        </w:rPr>
        <w:t>株洲市市政工程维护中心</w:t>
      </w:r>
      <w:r w:rsidR="004D6B1C">
        <w:rPr>
          <w:rFonts w:ascii="方正小标宋简体" w:eastAsia="方正小标宋简体"/>
          <w:sz w:val="52"/>
          <w:szCs w:val="44"/>
        </w:rPr>
        <w:t>整体支出绩效自评报告</w:t>
      </w:r>
    </w:p>
    <w:p w:rsidR="002B3B04" w:rsidRDefault="002B3B04">
      <w:pPr>
        <w:tabs>
          <w:tab w:val="left" w:pos="7560"/>
        </w:tabs>
        <w:adjustRightInd w:val="0"/>
        <w:snapToGrid w:val="0"/>
        <w:spacing w:line="540" w:lineRule="exact"/>
        <w:jc w:val="left"/>
        <w:rPr>
          <w:rFonts w:ascii="宋体" w:hAnsi="宋体"/>
          <w:b/>
          <w:sz w:val="32"/>
          <w:szCs w:val="32"/>
        </w:rPr>
      </w:pPr>
    </w:p>
    <w:p w:rsidR="002B3B04" w:rsidRDefault="004D6B1C">
      <w:pPr>
        <w:spacing w:line="560" w:lineRule="exact"/>
        <w:rPr>
          <w:rFonts w:eastAsia="黑体"/>
          <w:sz w:val="32"/>
          <w:szCs w:val="32"/>
        </w:rPr>
      </w:pPr>
      <w:r>
        <w:rPr>
          <w:rFonts w:eastAsia="黑体" w:hint="eastAsia"/>
          <w:sz w:val="32"/>
          <w:szCs w:val="32"/>
        </w:rPr>
        <w:t>一、</w:t>
      </w:r>
      <w:r>
        <w:rPr>
          <w:rFonts w:eastAsia="黑体"/>
          <w:sz w:val="32"/>
          <w:szCs w:val="32"/>
        </w:rPr>
        <w:t>部门（单位）基本情况</w:t>
      </w:r>
    </w:p>
    <w:p w:rsidR="002B3B04" w:rsidRDefault="004D6B1C">
      <w:pPr>
        <w:snapToGrid w:val="0"/>
        <w:spacing w:line="540" w:lineRule="exact"/>
        <w:ind w:firstLineChars="200" w:firstLine="643"/>
        <w:rPr>
          <w:rFonts w:ascii="宋体" w:hAnsi="宋体"/>
          <w:b/>
          <w:bCs/>
          <w:sz w:val="32"/>
          <w:szCs w:val="32"/>
        </w:rPr>
      </w:pPr>
      <w:r>
        <w:rPr>
          <w:rFonts w:ascii="宋体" w:hAnsi="宋体" w:hint="eastAsia"/>
          <w:b/>
          <w:bCs/>
          <w:sz w:val="32"/>
          <w:szCs w:val="32"/>
        </w:rPr>
        <w:t>1．主要职能。</w:t>
      </w:r>
    </w:p>
    <w:p w:rsidR="002B3B04" w:rsidRDefault="004D6B1C">
      <w:pPr>
        <w:spacing w:line="540" w:lineRule="exact"/>
        <w:ind w:firstLineChars="200" w:firstLine="640"/>
        <w:rPr>
          <w:rFonts w:ascii="仿宋" w:eastAsia="仿宋" w:hAnsi="仿宋" w:cs="仿宋"/>
          <w:sz w:val="32"/>
          <w:szCs w:val="32"/>
        </w:rPr>
      </w:pPr>
      <w:r>
        <w:rPr>
          <w:rFonts w:ascii="仿宋" w:eastAsia="仿宋" w:hAnsi="仿宋" w:hint="eastAsia"/>
          <w:color w:val="000000"/>
          <w:sz w:val="32"/>
          <w:szCs w:val="32"/>
        </w:rPr>
        <w:t>主要负责承担市区道路、排水设施和管理范围内桥梁桥涵及其附属设施的日常养护维修；</w:t>
      </w:r>
      <w:r>
        <w:rPr>
          <w:rFonts w:ascii="仿宋" w:eastAsia="仿宋" w:hAnsi="仿宋" w:cs="仿宋" w:hint="eastAsia"/>
          <w:sz w:val="32"/>
          <w:szCs w:val="32"/>
        </w:rPr>
        <w:t>负责全过程参与市政工程建设图纸的审查，建设方案的评审、工程建设的监管和工程竣工验收评估；负责全市市政工程设施完好状况和安全运行的监督检查，并提出市政工程设施改造和改进方案；</w:t>
      </w:r>
      <w:r>
        <w:rPr>
          <w:rFonts w:ascii="仿宋" w:eastAsia="仿宋" w:hAnsi="仿宋" w:hint="eastAsia"/>
          <w:color w:val="000000"/>
          <w:sz w:val="32"/>
          <w:szCs w:val="32"/>
        </w:rPr>
        <w:t>承担城区市政工程、市政设施项目的施工；负责城区市政工程设施占用、挖掘的现场勘察和初审收费及批后的监管；承担涉及市政工程设施方面的城市防汛、防台、抗雪等突发应急事件的具体实施；完成市委、市政府和主管局交办的其他工作。</w:t>
      </w:r>
    </w:p>
    <w:p w:rsidR="002B3B04" w:rsidRDefault="004D6B1C">
      <w:pPr>
        <w:numPr>
          <w:ilvl w:val="0"/>
          <w:numId w:val="1"/>
        </w:numPr>
        <w:snapToGrid w:val="0"/>
        <w:spacing w:line="540" w:lineRule="exact"/>
        <w:ind w:firstLineChars="200" w:firstLine="643"/>
        <w:rPr>
          <w:rFonts w:ascii="宋体" w:hAnsi="宋体"/>
          <w:b/>
          <w:bCs/>
          <w:sz w:val="32"/>
          <w:szCs w:val="32"/>
        </w:rPr>
      </w:pPr>
      <w:r>
        <w:rPr>
          <w:rFonts w:ascii="宋体" w:hAnsi="宋体" w:hint="eastAsia"/>
          <w:b/>
          <w:bCs/>
          <w:sz w:val="32"/>
          <w:szCs w:val="32"/>
        </w:rPr>
        <w:t>机构情况。</w:t>
      </w:r>
    </w:p>
    <w:p w:rsidR="002B3B04" w:rsidRDefault="004D6B1C">
      <w:pPr>
        <w:spacing w:line="540" w:lineRule="exact"/>
        <w:ind w:firstLine="627"/>
        <w:rPr>
          <w:rFonts w:ascii="仿宋" w:eastAsia="仿宋" w:hAnsi="仿宋"/>
          <w:sz w:val="32"/>
          <w:szCs w:val="32"/>
        </w:rPr>
      </w:pPr>
      <w:r>
        <w:rPr>
          <w:rFonts w:ascii="仿宋" w:eastAsia="仿宋" w:hAnsi="仿宋" w:cs="仿宋" w:hint="eastAsia"/>
          <w:kern w:val="1"/>
          <w:sz w:val="32"/>
          <w:szCs w:val="32"/>
        </w:rPr>
        <w:t>我中心是财政差额拨款的副县级事业单位。单位</w:t>
      </w:r>
      <w:r>
        <w:rPr>
          <w:rFonts w:ascii="仿宋" w:eastAsia="仿宋" w:hAnsi="仿宋" w:hint="eastAsia"/>
          <w:sz w:val="32"/>
          <w:szCs w:val="32"/>
        </w:rPr>
        <w:t>内设办公室、人事教育科、计划财务科、市政管理科、材料供应科、安全管理科、生产管理科、工程技术科、审计科、道路养护中心、桥梁养护中心、排水养护中心、市政养护中心、市政应急指挥中心、市政设施检测中心、机械化养护中心、纪检监察室、退休办等18个科室。</w:t>
      </w:r>
    </w:p>
    <w:p w:rsidR="002B3B04" w:rsidRDefault="004D6B1C">
      <w:pPr>
        <w:numPr>
          <w:ilvl w:val="0"/>
          <w:numId w:val="2"/>
        </w:numPr>
        <w:snapToGrid w:val="0"/>
        <w:spacing w:line="540" w:lineRule="exact"/>
        <w:ind w:firstLineChars="200" w:firstLine="643"/>
        <w:rPr>
          <w:rFonts w:ascii="宋体" w:hAnsi="宋体"/>
          <w:b/>
          <w:bCs/>
          <w:sz w:val="32"/>
          <w:szCs w:val="32"/>
        </w:rPr>
      </w:pPr>
      <w:r>
        <w:rPr>
          <w:rFonts w:ascii="宋体" w:hAnsi="宋体" w:hint="eastAsia"/>
          <w:b/>
          <w:bCs/>
          <w:sz w:val="32"/>
          <w:szCs w:val="32"/>
        </w:rPr>
        <w:t>人员情况。</w:t>
      </w:r>
    </w:p>
    <w:p w:rsidR="002B3B04" w:rsidRDefault="004D6B1C">
      <w:pPr>
        <w:snapToGrid w:val="0"/>
        <w:spacing w:line="540" w:lineRule="exact"/>
        <w:ind w:firstLineChars="200" w:firstLine="640"/>
        <w:rPr>
          <w:rFonts w:ascii="仿宋" w:eastAsia="仿宋" w:hAnsi="仿宋"/>
          <w:sz w:val="32"/>
          <w:szCs w:val="32"/>
        </w:rPr>
      </w:pPr>
      <w:r>
        <w:rPr>
          <w:rFonts w:ascii="仿宋" w:eastAsia="仿宋" w:hAnsi="仿宋" w:cs="仿宋" w:hint="eastAsia"/>
          <w:kern w:val="1"/>
          <w:sz w:val="32"/>
          <w:szCs w:val="32"/>
        </w:rPr>
        <w:t>单位编制人数211人。截止2022年12月31日在职职工1</w:t>
      </w:r>
      <w:r w:rsidR="00250B2F">
        <w:rPr>
          <w:rFonts w:ascii="仿宋" w:eastAsia="仿宋" w:hAnsi="仿宋" w:cs="仿宋" w:hint="eastAsia"/>
          <w:kern w:val="1"/>
          <w:sz w:val="32"/>
          <w:szCs w:val="32"/>
        </w:rPr>
        <w:t>89</w:t>
      </w:r>
      <w:r>
        <w:rPr>
          <w:rFonts w:ascii="仿宋" w:eastAsia="仿宋" w:hAnsi="仿宋" w:cs="仿宋" w:hint="eastAsia"/>
          <w:kern w:val="1"/>
          <w:sz w:val="32"/>
          <w:szCs w:val="32"/>
        </w:rPr>
        <w:t>人,退休人员123人,由单位负担1958年的下放人员6人。</w:t>
      </w:r>
    </w:p>
    <w:p w:rsidR="002B3B04" w:rsidRDefault="004D6B1C">
      <w:pPr>
        <w:widowControl/>
        <w:spacing w:line="560" w:lineRule="exact"/>
        <w:rPr>
          <w:rFonts w:ascii="Times New Roman" w:eastAsia="黑体" w:hAnsi="Times New Roman"/>
          <w:sz w:val="32"/>
          <w:szCs w:val="32"/>
        </w:rPr>
      </w:pPr>
      <w:r>
        <w:rPr>
          <w:rFonts w:ascii="Times New Roman" w:eastAsia="黑体" w:hAnsi="Times New Roman"/>
          <w:sz w:val="32"/>
          <w:szCs w:val="32"/>
        </w:rPr>
        <w:t>二、一般公共预算支出情况</w:t>
      </w:r>
    </w:p>
    <w:p w:rsidR="002B3B04" w:rsidRDefault="004D6B1C">
      <w:pPr>
        <w:tabs>
          <w:tab w:val="left" w:pos="7560"/>
        </w:tabs>
        <w:adjustRightInd w:val="0"/>
        <w:snapToGrid w:val="0"/>
        <w:spacing w:line="560" w:lineRule="exact"/>
        <w:jc w:val="left"/>
        <w:rPr>
          <w:rFonts w:ascii="楷体_GB2312" w:eastAsia="楷体_GB2312"/>
          <w:sz w:val="32"/>
          <w:szCs w:val="32"/>
        </w:rPr>
      </w:pPr>
      <w:r>
        <w:rPr>
          <w:rFonts w:ascii="楷体_GB2312" w:eastAsia="楷体_GB2312"/>
          <w:sz w:val="32"/>
          <w:szCs w:val="32"/>
        </w:rPr>
        <w:t>（一）基本支出情况</w:t>
      </w:r>
    </w:p>
    <w:p w:rsidR="002B3B04" w:rsidRDefault="004D6B1C">
      <w:pPr>
        <w:tabs>
          <w:tab w:val="left" w:pos="7560"/>
        </w:tabs>
        <w:adjustRightInd w:val="0"/>
        <w:snapToGrid w:val="0"/>
        <w:spacing w:line="560" w:lineRule="exact"/>
        <w:ind w:firstLineChars="200" w:firstLine="640"/>
        <w:jc w:val="left"/>
        <w:rPr>
          <w:rFonts w:ascii="仿宋" w:eastAsia="仿宋" w:hAnsi="仿宋"/>
          <w:sz w:val="32"/>
          <w:szCs w:val="32"/>
        </w:rPr>
      </w:pPr>
      <w:r>
        <w:rPr>
          <w:rFonts w:ascii="仿宋" w:eastAsia="仿宋" w:hAnsi="仿宋" w:hint="eastAsia"/>
          <w:sz w:val="32"/>
          <w:szCs w:val="32"/>
        </w:rPr>
        <w:t>2022年一般公共预算基本支出2684.44万元。其中工资福利</w:t>
      </w:r>
      <w:r>
        <w:rPr>
          <w:rFonts w:ascii="仿宋" w:eastAsia="仿宋" w:hAnsi="仿宋" w:hint="eastAsia"/>
          <w:sz w:val="32"/>
          <w:szCs w:val="32"/>
        </w:rPr>
        <w:lastRenderedPageBreak/>
        <w:t>支出1449.12万元，商品和服务支出609.01万元，对个人和家庭的补助支出603.56万元，资本性支出22.75万元。</w:t>
      </w:r>
    </w:p>
    <w:p w:rsidR="002B3B04" w:rsidRDefault="004D6B1C">
      <w:pPr>
        <w:tabs>
          <w:tab w:val="left" w:pos="7560"/>
        </w:tabs>
        <w:adjustRightInd w:val="0"/>
        <w:snapToGrid w:val="0"/>
        <w:spacing w:line="560" w:lineRule="exact"/>
        <w:jc w:val="left"/>
        <w:rPr>
          <w:rFonts w:ascii="楷体_GB2312" w:eastAsia="楷体_GB2312"/>
          <w:sz w:val="32"/>
          <w:szCs w:val="32"/>
        </w:rPr>
      </w:pPr>
      <w:r>
        <w:rPr>
          <w:rFonts w:ascii="楷体_GB2312" w:eastAsia="楷体_GB2312"/>
          <w:sz w:val="32"/>
          <w:szCs w:val="32"/>
        </w:rPr>
        <w:t>（二）项目支出情况</w:t>
      </w:r>
    </w:p>
    <w:p w:rsidR="002B3B04" w:rsidRDefault="004D6B1C">
      <w:pPr>
        <w:tabs>
          <w:tab w:val="left" w:pos="7560"/>
        </w:tabs>
        <w:adjustRightInd w:val="0"/>
        <w:snapToGrid w:val="0"/>
        <w:spacing w:line="560" w:lineRule="exact"/>
        <w:ind w:firstLineChars="200" w:firstLine="640"/>
        <w:jc w:val="left"/>
        <w:rPr>
          <w:rFonts w:ascii="仿宋" w:eastAsia="仿宋" w:hAnsi="仿宋"/>
          <w:sz w:val="32"/>
          <w:szCs w:val="32"/>
        </w:rPr>
      </w:pPr>
      <w:r>
        <w:rPr>
          <w:rFonts w:ascii="仿宋" w:eastAsia="仿宋" w:hAnsi="仿宋" w:hint="eastAsia"/>
          <w:sz w:val="32"/>
          <w:szCs w:val="32"/>
        </w:rPr>
        <w:t>2022年一般公共预算项目支出5346.99万元。其中工资福利支出1991.65万元，商品和服务支出3280.37万元，对个人和家庭的补助支出26.09万元，资本性支出48.88万元。</w:t>
      </w:r>
    </w:p>
    <w:p w:rsidR="002B3B04" w:rsidRDefault="004D6B1C">
      <w:pPr>
        <w:pStyle w:val="a8"/>
        <w:widowControl/>
        <w:spacing w:line="560" w:lineRule="exact"/>
        <w:ind w:firstLineChars="0" w:firstLine="0"/>
        <w:jc w:val="left"/>
        <w:rPr>
          <w:rFonts w:ascii="Times New Roman" w:eastAsia="黑体" w:hAnsi="Times New Roman"/>
          <w:sz w:val="32"/>
          <w:szCs w:val="32"/>
        </w:rPr>
      </w:pPr>
      <w:r>
        <w:rPr>
          <w:rFonts w:ascii="Times New Roman" w:eastAsia="黑体" w:hAnsi="Times New Roman"/>
          <w:sz w:val="32"/>
          <w:szCs w:val="32"/>
        </w:rPr>
        <w:t>三、政府性基金预算支出情况</w:t>
      </w:r>
    </w:p>
    <w:p w:rsidR="002B3B04" w:rsidRDefault="004D6B1C">
      <w:pPr>
        <w:widowControl/>
        <w:spacing w:line="560" w:lineRule="exact"/>
        <w:ind w:firstLineChars="200" w:firstLine="640"/>
        <w:jc w:val="left"/>
        <w:rPr>
          <w:rFonts w:ascii="仿宋" w:eastAsia="仿宋" w:hAnsi="仿宋"/>
          <w:sz w:val="32"/>
          <w:szCs w:val="32"/>
        </w:rPr>
      </w:pPr>
      <w:r>
        <w:rPr>
          <w:rFonts w:ascii="仿宋" w:eastAsia="仿宋" w:hAnsi="仿宋" w:hint="eastAsia"/>
          <w:sz w:val="32"/>
          <w:szCs w:val="32"/>
        </w:rPr>
        <w:t>我中心2022年无政府性基金预算支出。</w:t>
      </w:r>
    </w:p>
    <w:p w:rsidR="002B3B04" w:rsidRDefault="004D6B1C">
      <w:pPr>
        <w:pStyle w:val="a8"/>
        <w:widowControl/>
        <w:spacing w:line="560" w:lineRule="exact"/>
        <w:ind w:firstLineChars="0" w:firstLine="0"/>
        <w:jc w:val="left"/>
        <w:rPr>
          <w:rFonts w:ascii="Times New Roman" w:eastAsia="黑体" w:hAnsi="Times New Roman"/>
          <w:sz w:val="32"/>
          <w:szCs w:val="32"/>
        </w:rPr>
      </w:pPr>
      <w:r>
        <w:rPr>
          <w:rFonts w:ascii="Times New Roman" w:eastAsia="黑体" w:hAnsi="Times New Roman"/>
          <w:sz w:val="32"/>
          <w:szCs w:val="32"/>
        </w:rPr>
        <w:t>四、国有资本经营预算支出情况</w:t>
      </w:r>
    </w:p>
    <w:p w:rsidR="002B3B04" w:rsidRDefault="004D6B1C">
      <w:pPr>
        <w:widowControl/>
        <w:spacing w:line="560" w:lineRule="exact"/>
        <w:ind w:firstLineChars="200" w:firstLine="640"/>
        <w:jc w:val="left"/>
        <w:rPr>
          <w:rFonts w:ascii="仿宋" w:eastAsia="仿宋" w:hAnsi="仿宋"/>
          <w:sz w:val="32"/>
          <w:szCs w:val="32"/>
        </w:rPr>
      </w:pPr>
      <w:r>
        <w:rPr>
          <w:rFonts w:ascii="仿宋" w:eastAsia="仿宋" w:hAnsi="仿宋" w:hint="eastAsia"/>
          <w:sz w:val="32"/>
          <w:szCs w:val="32"/>
        </w:rPr>
        <w:t>我中心2022年无国有资本经营预算支出。</w:t>
      </w:r>
    </w:p>
    <w:p w:rsidR="002B3B04" w:rsidRDefault="004D6B1C">
      <w:pPr>
        <w:pStyle w:val="a8"/>
        <w:widowControl/>
        <w:spacing w:line="560" w:lineRule="exact"/>
        <w:ind w:firstLineChars="0" w:firstLine="0"/>
        <w:jc w:val="left"/>
        <w:rPr>
          <w:rFonts w:ascii="Times New Roman" w:eastAsia="黑体" w:hAnsi="Times New Roman"/>
          <w:sz w:val="32"/>
          <w:szCs w:val="32"/>
        </w:rPr>
      </w:pPr>
      <w:r>
        <w:rPr>
          <w:rFonts w:ascii="Times New Roman" w:eastAsia="黑体" w:hAnsi="Times New Roman"/>
          <w:sz w:val="32"/>
          <w:szCs w:val="32"/>
        </w:rPr>
        <w:t>五、社会保险基金预算支出情况</w:t>
      </w:r>
    </w:p>
    <w:p w:rsidR="002B3B04" w:rsidRDefault="004D6B1C">
      <w:pPr>
        <w:widowControl/>
        <w:spacing w:line="560" w:lineRule="exact"/>
        <w:ind w:firstLineChars="200" w:firstLine="640"/>
        <w:jc w:val="left"/>
        <w:rPr>
          <w:rFonts w:ascii="仿宋" w:eastAsia="仿宋" w:hAnsi="仿宋"/>
          <w:sz w:val="32"/>
          <w:szCs w:val="32"/>
        </w:rPr>
      </w:pPr>
      <w:r>
        <w:rPr>
          <w:rFonts w:ascii="仿宋" w:eastAsia="仿宋" w:hAnsi="仿宋" w:hint="eastAsia"/>
          <w:sz w:val="32"/>
          <w:szCs w:val="32"/>
        </w:rPr>
        <w:t>我中心2022年无社会保险基金预算支出。</w:t>
      </w:r>
    </w:p>
    <w:p w:rsidR="002B3B04" w:rsidRDefault="004D6B1C">
      <w:pPr>
        <w:tabs>
          <w:tab w:val="left" w:pos="7560"/>
        </w:tabs>
        <w:adjustRightInd w:val="0"/>
        <w:snapToGrid w:val="0"/>
        <w:spacing w:line="540" w:lineRule="exact"/>
        <w:jc w:val="left"/>
        <w:rPr>
          <w:rFonts w:ascii="黑体" w:eastAsia="黑体" w:hAnsi="黑体"/>
          <w:b/>
          <w:sz w:val="32"/>
          <w:szCs w:val="32"/>
        </w:rPr>
      </w:pPr>
      <w:r>
        <w:rPr>
          <w:rFonts w:ascii="黑体" w:eastAsia="黑体" w:hAnsi="黑体" w:hint="eastAsia"/>
          <w:b/>
          <w:sz w:val="32"/>
          <w:szCs w:val="32"/>
        </w:rPr>
        <w:t>六、资金使用及绩效情况</w:t>
      </w:r>
    </w:p>
    <w:p w:rsidR="002B3B04" w:rsidRDefault="004D6B1C">
      <w:pPr>
        <w:tabs>
          <w:tab w:val="left" w:pos="7560"/>
        </w:tabs>
        <w:adjustRightInd w:val="0"/>
        <w:snapToGrid w:val="0"/>
        <w:spacing w:line="560" w:lineRule="exact"/>
        <w:jc w:val="left"/>
        <w:rPr>
          <w:rFonts w:ascii="楷体_GB2312" w:eastAsia="楷体_GB2312"/>
          <w:sz w:val="32"/>
          <w:szCs w:val="32"/>
        </w:rPr>
      </w:pPr>
      <w:r>
        <w:rPr>
          <w:rFonts w:ascii="楷体_GB2312" w:eastAsia="楷体_GB2312" w:hint="eastAsia"/>
          <w:sz w:val="32"/>
          <w:szCs w:val="32"/>
        </w:rPr>
        <w:t>（一）整体支出绩效情况</w:t>
      </w:r>
    </w:p>
    <w:p w:rsidR="002B3B04" w:rsidRDefault="004D6B1C">
      <w:pPr>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1、坚持强党建固魂魄，筑牢发展根基，凝聚发展力量。</w:t>
      </w:r>
      <w:r>
        <w:rPr>
          <w:rFonts w:ascii="仿宋" w:eastAsia="仿宋" w:hAnsi="仿宋" w:cs="仿宋" w:hint="eastAsia"/>
          <w:bCs/>
          <w:sz w:val="32"/>
          <w:szCs w:val="32"/>
        </w:rPr>
        <w:t>一是切实做好各项党建工作的落实，旗帜鲜明的讲政治。二是充分发挥党员先锋模范作用，在11月</w:t>
      </w:r>
      <w:r>
        <w:rPr>
          <w:rFonts w:ascii="仿宋" w:eastAsia="仿宋" w:hAnsi="仿宋" w:hint="eastAsia"/>
          <w:sz w:val="32"/>
          <w:szCs w:val="32"/>
        </w:rPr>
        <w:t>的疫情防控战中，在中心党委领导下，中心101名党员干部职工用市政人的责任与担当，积极投身社区抗疫一线</w:t>
      </w:r>
      <w:r>
        <w:rPr>
          <w:rFonts w:ascii="仿宋" w:eastAsia="仿宋" w:hAnsi="仿宋" w:cs="仿宋" w:hint="eastAsia"/>
          <w:bCs/>
          <w:sz w:val="32"/>
          <w:szCs w:val="32"/>
        </w:rPr>
        <w:t>。三是加大干部职工教育培训力度，</w:t>
      </w:r>
      <w:r>
        <w:rPr>
          <w:rFonts w:ascii="仿宋" w:eastAsia="仿宋" w:hAnsi="仿宋" w:cs="仿宋_GB2312" w:hint="eastAsia"/>
          <w:bCs/>
          <w:sz w:val="32"/>
          <w:szCs w:val="32"/>
        </w:rPr>
        <w:t>深入贯彻“干部能力提升年”活动要求，</w:t>
      </w:r>
      <w:r>
        <w:rPr>
          <w:rFonts w:ascii="仿宋" w:eastAsia="仿宋" w:hAnsi="仿宋" w:hint="eastAsia"/>
          <w:sz w:val="32"/>
          <w:szCs w:val="32"/>
        </w:rPr>
        <w:t>“分层、分级、分类”实施专业人才培训，组织干部职工线上教育学习，</w:t>
      </w:r>
      <w:r>
        <w:rPr>
          <w:rFonts w:ascii="仿宋" w:eastAsia="仿宋" w:hAnsi="仿宋" w:cs="仿宋_GB2312" w:hint="eastAsia"/>
          <w:bCs/>
          <w:sz w:val="32"/>
          <w:szCs w:val="32"/>
        </w:rPr>
        <w:t>开展机械化作业、智慧市政系统操作、工改平台系统操作、安全生产等业务专题培训8场，共计培训351人次，组织53名工勤人员完成了2022年事业单位工勤技能岗位考核，有效提升专业技术水平</w:t>
      </w:r>
      <w:r>
        <w:rPr>
          <w:rFonts w:ascii="仿宋" w:eastAsia="仿宋" w:hAnsi="仿宋" w:cs="仿宋" w:hint="eastAsia"/>
          <w:bCs/>
          <w:sz w:val="32"/>
          <w:szCs w:val="32"/>
        </w:rPr>
        <w:t>。四是工、青、妇、团工作精彩纷呈。五是扎实做好驻村帮扶工作。</w:t>
      </w:r>
      <w:r>
        <w:rPr>
          <w:rFonts w:ascii="仿宋" w:eastAsia="仿宋" w:hAnsi="仿宋" w:cs="仿宋" w:hint="eastAsia"/>
          <w:sz w:val="32"/>
          <w:szCs w:val="32"/>
        </w:rPr>
        <w:t>六是</w:t>
      </w:r>
      <w:r>
        <w:rPr>
          <w:rFonts w:ascii="仿宋" w:eastAsia="仿宋" w:hAnsi="仿宋" w:hint="eastAsia"/>
          <w:bCs/>
          <w:sz w:val="32"/>
          <w:szCs w:val="32"/>
        </w:rPr>
        <w:t>从严治党提正气。扎实开展党风廉政建</w:t>
      </w:r>
      <w:r>
        <w:rPr>
          <w:rFonts w:ascii="仿宋" w:eastAsia="仿宋" w:hAnsi="仿宋" w:cs="Arial" w:hint="eastAsia"/>
          <w:bCs/>
          <w:sz w:val="32"/>
          <w:szCs w:val="32"/>
        </w:rPr>
        <w:t>设，</w:t>
      </w:r>
      <w:r>
        <w:rPr>
          <w:rFonts w:ascii="仿宋" w:eastAsia="仿宋" w:hAnsi="仿宋" w:hint="eastAsia"/>
          <w:color w:val="000000"/>
          <w:sz w:val="32"/>
          <w:szCs w:val="32"/>
        </w:rPr>
        <w:t>积极推进建设清廉机关，</w:t>
      </w:r>
      <w:r>
        <w:rPr>
          <w:rFonts w:ascii="仿宋" w:eastAsia="仿宋" w:hAnsi="仿宋" w:cs="Arial" w:hint="eastAsia"/>
          <w:bCs/>
          <w:sz w:val="32"/>
          <w:szCs w:val="32"/>
        </w:rPr>
        <w:t>研究制定</w:t>
      </w:r>
      <w:r>
        <w:rPr>
          <w:rFonts w:ascii="仿宋" w:eastAsia="仿宋" w:hAnsi="仿宋" w:hint="eastAsia"/>
          <w:color w:val="000000"/>
          <w:sz w:val="32"/>
          <w:szCs w:val="32"/>
        </w:rPr>
        <w:t>《落实全面从严治党主体</w:t>
      </w:r>
      <w:r>
        <w:rPr>
          <w:rFonts w:ascii="仿宋" w:eastAsia="仿宋" w:hAnsi="仿宋" w:hint="eastAsia"/>
          <w:color w:val="000000"/>
          <w:sz w:val="32"/>
          <w:szCs w:val="32"/>
        </w:rPr>
        <w:lastRenderedPageBreak/>
        <w:t>责任工作清单》</w:t>
      </w:r>
      <w:r>
        <w:rPr>
          <w:rFonts w:ascii="仿宋" w:eastAsia="仿宋" w:hAnsi="仿宋" w:cs="Arial" w:hint="eastAsia"/>
          <w:bCs/>
          <w:sz w:val="32"/>
          <w:szCs w:val="32"/>
        </w:rPr>
        <w:t>《党建和党风廉政工作要点》，强化日常监督和重点领域监管，开展经常性提醒警示教育，定期不定期进</w:t>
      </w:r>
      <w:r>
        <w:rPr>
          <w:rFonts w:ascii="仿宋" w:eastAsia="仿宋" w:hAnsi="仿宋" w:hint="eastAsia"/>
          <w:bCs/>
          <w:sz w:val="32"/>
          <w:szCs w:val="32"/>
        </w:rPr>
        <w:t>行廉政建设和作风建设监督检查，累计开展各类廉政提醒谈话109人次、监督检查54次等</w:t>
      </w:r>
      <w:r>
        <w:rPr>
          <w:rFonts w:ascii="仿宋" w:eastAsia="仿宋" w:hAnsi="仿宋" w:hint="eastAsia"/>
          <w:sz w:val="32"/>
          <w:szCs w:val="32"/>
        </w:rPr>
        <w:t>，</w:t>
      </w:r>
      <w:r>
        <w:rPr>
          <w:rFonts w:ascii="仿宋" w:eastAsia="仿宋" w:hAnsi="仿宋" w:hint="eastAsia"/>
          <w:kern w:val="0"/>
          <w:sz w:val="32"/>
          <w:szCs w:val="32"/>
        </w:rPr>
        <w:t>不断筑牢党员干部思想防线，营造风清气正的政治生态和工作环境</w:t>
      </w:r>
      <w:r>
        <w:rPr>
          <w:rFonts w:ascii="仿宋" w:eastAsia="仿宋" w:hAnsi="仿宋" w:cs="仿宋" w:hint="eastAsia"/>
          <w:sz w:val="32"/>
          <w:szCs w:val="32"/>
        </w:rPr>
        <w:t>。</w:t>
      </w:r>
    </w:p>
    <w:p w:rsidR="002B3B04" w:rsidRDefault="004D6B1C">
      <w:pPr>
        <w:snapToGrid w:val="0"/>
        <w:spacing w:line="520" w:lineRule="exact"/>
        <w:ind w:firstLineChars="200" w:firstLine="640"/>
        <w:rPr>
          <w:rFonts w:ascii="仿宋" w:eastAsia="仿宋" w:hAnsi="仿宋" w:cs="仿宋"/>
          <w:bCs/>
          <w:color w:val="FF0000"/>
          <w:sz w:val="32"/>
          <w:szCs w:val="32"/>
        </w:rPr>
      </w:pPr>
      <w:r>
        <w:rPr>
          <w:rFonts w:ascii="仿宋" w:eastAsia="仿宋" w:hAnsi="仿宋" w:cs="仿宋" w:hint="eastAsia"/>
          <w:sz w:val="32"/>
          <w:szCs w:val="32"/>
        </w:rPr>
        <w:t>2、坚持</w:t>
      </w:r>
      <w:r>
        <w:rPr>
          <w:rFonts w:ascii="仿宋" w:eastAsia="仿宋" w:hAnsi="仿宋" w:cs="楷体" w:hint="eastAsia"/>
          <w:sz w:val="32"/>
          <w:szCs w:val="32"/>
        </w:rPr>
        <w:t>防风险，筑安全</w:t>
      </w:r>
      <w:r>
        <w:rPr>
          <w:rFonts w:ascii="仿宋" w:eastAsia="仿宋" w:hAnsi="仿宋" w:cs="仿宋" w:hint="eastAsia"/>
          <w:sz w:val="32"/>
          <w:szCs w:val="32"/>
        </w:rPr>
        <w:t>。</w:t>
      </w:r>
      <w:r>
        <w:rPr>
          <w:rFonts w:ascii="仿宋" w:eastAsia="仿宋" w:hAnsi="仿宋" w:cs="仿宋" w:hint="eastAsia"/>
          <w:bCs/>
          <w:sz w:val="32"/>
          <w:szCs w:val="32"/>
        </w:rPr>
        <w:t>一是建立健全安全生产管理制度，</w:t>
      </w:r>
      <w:r>
        <w:rPr>
          <w:rFonts w:ascii="仿宋" w:eastAsia="仿宋" w:hAnsi="仿宋" w:cs="Arial" w:hint="eastAsia"/>
          <w:sz w:val="32"/>
          <w:szCs w:val="32"/>
          <w:shd w:val="clear" w:color="auto" w:fill="FFFFFF"/>
        </w:rPr>
        <w:t>大力开展安全生产大排查、大管控、大整治行动，累计开展安全生产专项检查60余次，及时消除各类安全隐患，有效提</w:t>
      </w:r>
      <w:r>
        <w:rPr>
          <w:rFonts w:ascii="仿宋" w:eastAsia="仿宋" w:hAnsi="仿宋" w:hint="eastAsia"/>
          <w:sz w:val="32"/>
          <w:szCs w:val="32"/>
          <w:shd w:val="clear" w:color="auto" w:fill="FFFFFF"/>
        </w:rPr>
        <w:t>高安全生产水平</w:t>
      </w:r>
      <w:r>
        <w:rPr>
          <w:rFonts w:ascii="仿宋" w:eastAsia="仿宋" w:hAnsi="仿宋" w:cs="仿宋" w:hint="eastAsia"/>
          <w:bCs/>
          <w:sz w:val="32"/>
          <w:szCs w:val="32"/>
        </w:rPr>
        <w:t>。二是</w:t>
      </w:r>
      <w:r>
        <w:rPr>
          <w:rFonts w:ascii="仿宋" w:eastAsia="仿宋" w:hAnsi="仿宋" w:cs="仿宋" w:hint="eastAsia"/>
          <w:sz w:val="32"/>
          <w:szCs w:val="32"/>
        </w:rPr>
        <w:t>进一步完善内部控制制度，强化内部监督管理，对财务报销、资产管理、材料设备采购等招投标项目以及关键岗位、重点环节进行重点监督，坚持对违规违纪问题零容忍</w:t>
      </w:r>
      <w:r>
        <w:rPr>
          <w:rFonts w:ascii="仿宋" w:eastAsia="仿宋" w:hAnsi="仿宋" w:hint="eastAsia"/>
          <w:sz w:val="32"/>
          <w:szCs w:val="32"/>
        </w:rPr>
        <w:t>，</w:t>
      </w:r>
      <w:r>
        <w:rPr>
          <w:rFonts w:ascii="仿宋" w:eastAsia="仿宋" w:hAnsi="仿宋" w:hint="eastAsia"/>
          <w:bCs/>
          <w:sz w:val="32"/>
          <w:szCs w:val="32"/>
        </w:rPr>
        <w:t>不断提高防范化解重大风险能力。</w:t>
      </w:r>
      <w:r>
        <w:rPr>
          <w:rFonts w:ascii="仿宋" w:eastAsia="仿宋" w:hAnsi="仿宋" w:cs="仿宋" w:hint="eastAsia"/>
          <w:bCs/>
          <w:sz w:val="32"/>
          <w:szCs w:val="32"/>
        </w:rPr>
        <w:t>三是持续强化培训学习。</w:t>
      </w:r>
    </w:p>
    <w:p w:rsidR="002B3B04" w:rsidRDefault="004D6B1C">
      <w:pPr>
        <w:snapToGrid w:val="0"/>
        <w:spacing w:line="520" w:lineRule="exact"/>
        <w:ind w:firstLineChars="200" w:firstLine="640"/>
        <w:rPr>
          <w:rFonts w:ascii="仿宋" w:eastAsia="仿宋" w:hAnsi="仿宋" w:cs="仿宋"/>
          <w:sz w:val="32"/>
          <w:szCs w:val="40"/>
        </w:rPr>
      </w:pPr>
      <w:r>
        <w:rPr>
          <w:rFonts w:ascii="仿宋" w:eastAsia="仿宋" w:hAnsi="仿宋" w:cs="仿宋" w:hint="eastAsia"/>
          <w:sz w:val="32"/>
          <w:szCs w:val="32"/>
        </w:rPr>
        <w:t>3、坚持优服务暖民心，路政管理便民高效。</w:t>
      </w:r>
      <w:r>
        <w:rPr>
          <w:rFonts w:ascii="仿宋" w:eastAsia="仿宋" w:hAnsi="仿宋" w:cs="仿宋" w:hint="eastAsia"/>
          <w:bCs/>
          <w:sz w:val="32"/>
          <w:szCs w:val="32"/>
        </w:rPr>
        <w:t>一是</w:t>
      </w:r>
      <w:r>
        <w:rPr>
          <w:rFonts w:ascii="仿宋" w:eastAsia="仿宋" w:hAnsi="仿宋" w:cs="Arial" w:hint="eastAsia"/>
          <w:bCs/>
          <w:sz w:val="32"/>
          <w:szCs w:val="32"/>
          <w:shd w:val="clear" w:color="auto" w:fill="FFFFFF"/>
        </w:rPr>
        <w:t>积</w:t>
      </w:r>
      <w:r>
        <w:rPr>
          <w:rFonts w:ascii="仿宋" w:eastAsia="仿宋" w:hAnsi="仿宋" w:hint="eastAsia"/>
          <w:bCs/>
          <w:sz w:val="32"/>
          <w:szCs w:val="32"/>
          <w:shd w:val="clear" w:color="auto" w:fill="FFFFFF"/>
        </w:rPr>
        <w:t>极响应民生诉求。</w:t>
      </w:r>
      <w:r>
        <w:rPr>
          <w:rFonts w:ascii="仿宋" w:eastAsia="仿宋" w:hAnsi="仿宋" w:hint="eastAsia"/>
          <w:sz w:val="32"/>
          <w:szCs w:val="32"/>
          <w:shd w:val="clear" w:color="auto" w:fill="FFFFFF"/>
        </w:rPr>
        <w:t>坚持市政应急专线24小时不打烊，累计完成市长热线派单1086件次、数字城管派单2534件次以及市政应急热线142件次的办理和回复。实施窨井盖安全管理专项行动，累计调升更换检查井1636座、泄水井229座，对低洼地段、易积水路段及老式、井室高检查井安装防坠网973个。开展排水堵点专项整治，累计完成人民北路正宇酒业前、中心广场等33处排水堵点改造</w:t>
      </w:r>
      <w:r>
        <w:rPr>
          <w:rFonts w:ascii="仿宋" w:eastAsia="仿宋" w:hAnsi="仿宋" w:hint="eastAsia"/>
          <w:sz w:val="32"/>
          <w:szCs w:val="32"/>
        </w:rPr>
        <w:t>。</w:t>
      </w:r>
      <w:r>
        <w:rPr>
          <w:rFonts w:ascii="仿宋" w:eastAsia="仿宋" w:hAnsi="仿宋" w:hint="eastAsia"/>
          <w:bCs/>
          <w:sz w:val="32"/>
          <w:szCs w:val="32"/>
        </w:rPr>
        <w:t>二是安全高效应急处置。</w:t>
      </w:r>
      <w:r>
        <w:rPr>
          <w:rFonts w:ascii="仿宋" w:eastAsia="仿宋" w:hAnsi="仿宋" w:hint="eastAsia"/>
          <w:sz w:val="32"/>
          <w:szCs w:val="32"/>
        </w:rPr>
        <w:t>健全完善市政设施应急预案，积极开展抢险应急演练，切实提升应急处置水平。安全及时高效完成汛期排水防涝应急处置8次，累计出动应急车辆209台次、应急人员871人次；在年初极寒天气过程中，中心迅速动员响应“抗冰雪、保畅通”，实行“一桥一领导一专班”责任制，累计出动应急车辆208台次、应急人员731人次，抛洒融雪剂88.5吨，有效保障道路桥梁安全畅通，得到领导和市民的高度肯定。三</w:t>
      </w:r>
      <w:r>
        <w:rPr>
          <w:rFonts w:ascii="仿宋" w:eastAsia="仿宋" w:hAnsi="仿宋" w:hint="eastAsia"/>
          <w:bCs/>
          <w:sz w:val="32"/>
          <w:szCs w:val="32"/>
        </w:rPr>
        <w:t>是</w:t>
      </w:r>
      <w:r>
        <w:rPr>
          <w:rFonts w:ascii="仿宋" w:eastAsia="仿宋" w:hAnsi="仿宋" w:cs="Arial" w:hint="eastAsia"/>
          <w:bCs/>
          <w:sz w:val="32"/>
          <w:szCs w:val="32"/>
          <w:shd w:val="clear" w:color="auto" w:fill="FFFFFF"/>
        </w:rPr>
        <w:t>助力营商环境优化。</w:t>
      </w:r>
      <w:r>
        <w:rPr>
          <w:rFonts w:ascii="仿宋" w:eastAsia="仿宋" w:hAnsi="仿宋" w:cs="Arial" w:hint="eastAsia"/>
          <w:sz w:val="32"/>
          <w:szCs w:val="32"/>
          <w:shd w:val="clear" w:color="auto" w:fill="FFFFFF"/>
        </w:rPr>
        <w:t>深入贯彻“市场主体培育年”活动要求，全力做好温暖企业服务，对29家重点</w:t>
      </w:r>
      <w:r>
        <w:rPr>
          <w:rFonts w:ascii="仿宋" w:eastAsia="仿宋" w:hAnsi="仿宋" w:cs="Arial" w:hint="eastAsia"/>
          <w:sz w:val="32"/>
          <w:szCs w:val="32"/>
          <w:shd w:val="clear" w:color="auto" w:fill="FFFFFF"/>
        </w:rPr>
        <w:lastRenderedPageBreak/>
        <w:t>企业开展一对一上门服务，及时协调和解决企业诉求17件次，累计完成占破道审批初勘139件次，对符合水电气报装要求的占破道审批全面落实惠企政策43件次</w:t>
      </w:r>
    </w:p>
    <w:p w:rsidR="002B3B04" w:rsidRDefault="004D6B1C">
      <w:pPr>
        <w:tabs>
          <w:tab w:val="left" w:pos="7560"/>
        </w:tabs>
        <w:adjustRightInd w:val="0"/>
        <w:snapToGrid w:val="0"/>
        <w:spacing w:line="540" w:lineRule="exact"/>
        <w:ind w:firstLineChars="200" w:firstLine="640"/>
        <w:jc w:val="left"/>
        <w:rPr>
          <w:rFonts w:ascii="宋体" w:hAnsi="宋体" w:cs="仿宋"/>
          <w:bCs/>
          <w:sz w:val="30"/>
          <w:szCs w:val="30"/>
        </w:rPr>
      </w:pPr>
      <w:r>
        <w:rPr>
          <w:rFonts w:ascii="仿宋" w:eastAsia="仿宋" w:hAnsi="仿宋" w:cs="仿宋" w:hint="eastAsia"/>
          <w:sz w:val="32"/>
          <w:szCs w:val="32"/>
        </w:rPr>
        <w:t xml:space="preserve"> 4、坚持精细管养，提高质量效率。</w:t>
      </w:r>
      <w:r>
        <w:rPr>
          <w:rFonts w:ascii="仿宋" w:eastAsia="仿宋" w:hAnsi="仿宋" w:cs="仿宋" w:hint="eastAsia"/>
          <w:bCs/>
          <w:sz w:val="32"/>
          <w:szCs w:val="32"/>
        </w:rPr>
        <w:t>一是在日常养护方面。</w:t>
      </w:r>
      <w:r>
        <w:rPr>
          <w:rStyle w:val="ca-31"/>
          <w:rFonts w:ascii="仿宋" w:eastAsia="仿宋" w:hAnsi="仿宋" w:cs="仿宋" w:hint="default"/>
          <w:bCs/>
        </w:rPr>
        <w:t>全面提升主次干道、人行道完好率，</w:t>
      </w:r>
      <w:r>
        <w:rPr>
          <w:rFonts w:ascii="仿宋" w:eastAsia="仿宋" w:hAnsi="仿宋" w:hint="eastAsia"/>
          <w:bCs/>
          <w:sz w:val="32"/>
          <w:szCs w:val="32"/>
        </w:rPr>
        <w:t>全年日常养护累计维修车道</w:t>
      </w:r>
      <w:r>
        <w:rPr>
          <w:rFonts w:ascii="仿宋" w:eastAsia="仿宋" w:hAnsi="仿宋" w:hint="eastAsia"/>
          <w:sz w:val="32"/>
          <w:szCs w:val="32"/>
          <w:shd w:val="clear" w:color="auto" w:fill="FFFFFF"/>
        </w:rPr>
        <w:t>60556㎡、行道9599㎡、清掏检查井39428座次、泄水井38866座次、疏通管道40228m、桥梁止水带更换1497m、护栏维修2045m等。</w:t>
      </w:r>
      <w:r>
        <w:rPr>
          <w:rFonts w:ascii="仿宋" w:eastAsia="仿宋" w:hAnsi="仿宋" w:cs="仿宋" w:hint="eastAsia"/>
          <w:bCs/>
          <w:sz w:val="32"/>
          <w:szCs w:val="32"/>
        </w:rPr>
        <w:t>二是</w:t>
      </w:r>
      <w:r>
        <w:rPr>
          <w:rFonts w:ascii="仿宋" w:eastAsia="仿宋" w:hAnsi="仿宋" w:hint="eastAsia"/>
          <w:sz w:val="32"/>
          <w:szCs w:val="32"/>
          <w:shd w:val="clear" w:color="auto" w:fill="FFFFFF"/>
        </w:rPr>
        <w:t>持续开展桥下空间隐患排查，及时上报主管局推进隐患整改。督促相关单位完成磨子冲桥、枫林路桥、石峰大桥东、芦淞大桥西等桥下空间隐患问题的整改；</w:t>
      </w:r>
      <w:r>
        <w:rPr>
          <w:rFonts w:ascii="仿宋" w:eastAsia="仿宋" w:hAnsi="仿宋" w:hint="eastAsia"/>
          <w:sz w:val="32"/>
          <w:szCs w:val="32"/>
        </w:rPr>
        <w:t>持续开展道路桥梁专项检测，</w:t>
      </w:r>
      <w:r>
        <w:rPr>
          <w:rFonts w:ascii="仿宋" w:eastAsia="仿宋" w:hAnsi="仿宋" w:hint="eastAsia"/>
          <w:sz w:val="32"/>
          <w:szCs w:val="32"/>
          <w:shd w:val="clear" w:color="auto" w:fill="FFFFFF"/>
        </w:rPr>
        <w:t>完成一至五桥五座跨江大桥结构检测和其他38座桥梁常规检测，完成芦淞路、建设路、白石港路等5条道路空洞隐患检测，及时发现和整治芦淞路道路空洞隐患问题</w:t>
      </w:r>
      <w:r>
        <w:rPr>
          <w:rFonts w:ascii="仿宋" w:eastAsia="仿宋" w:hAnsi="仿宋" w:cs="仿宋" w:hint="eastAsia"/>
          <w:bCs/>
          <w:sz w:val="32"/>
          <w:szCs w:val="32"/>
        </w:rPr>
        <w:t>。三是</w:t>
      </w:r>
      <w:r>
        <w:rPr>
          <w:rFonts w:ascii="仿宋" w:eastAsia="仿宋" w:hAnsi="仿宋" w:cs="楷体" w:hint="eastAsia"/>
          <w:sz w:val="32"/>
          <w:szCs w:val="32"/>
        </w:rPr>
        <w:t>突出重点、统筹兼顾，</w:t>
      </w:r>
      <w:r>
        <w:rPr>
          <w:rFonts w:ascii="仿宋" w:eastAsia="仿宋" w:hAnsi="仿宋" w:hint="eastAsia"/>
          <w:bCs/>
          <w:sz w:val="32"/>
          <w:szCs w:val="32"/>
        </w:rPr>
        <w:t>高质量完成国文国卫复审迎检和</w:t>
      </w:r>
      <w:r>
        <w:rPr>
          <w:rFonts w:ascii="仿宋" w:eastAsia="仿宋" w:hAnsi="仿宋" w:hint="eastAsia"/>
          <w:sz w:val="32"/>
          <w:szCs w:val="32"/>
        </w:rPr>
        <w:t>全省城市道路（桥梁、隧道）安全及规范化管理调研评估任务</w:t>
      </w:r>
      <w:r>
        <w:rPr>
          <w:rFonts w:ascii="仿宋" w:eastAsia="仿宋" w:hAnsi="仿宋" w:cs="仿宋" w:hint="eastAsia"/>
          <w:bCs/>
          <w:sz w:val="32"/>
          <w:szCs w:val="32"/>
        </w:rPr>
        <w:t>。中心领导专项调度、带队督导，管理人员全部下沉到一线，对辖区内道路、排水、桥梁设施进行拉网式病害排查，详细记录并形成巡查记录表，养护部门根据巡查记录表对问题进行逐项核实，维修完成后及时反馈结果，有力保障了辖区内市政设施的安全完好，顺利通过国文、国卫复审和调研评估任务。四是</w:t>
      </w:r>
      <w:r>
        <w:rPr>
          <w:rFonts w:ascii="仿宋" w:eastAsia="仿宋" w:hAnsi="仿宋" w:hint="eastAsia"/>
          <w:sz w:val="32"/>
          <w:szCs w:val="32"/>
          <w:shd w:val="clear" w:color="auto" w:fill="FFFFFF"/>
        </w:rPr>
        <w:t>推广应用新工艺、新材料，针对十字路口、公交站等重点路段反复出现车辙病害和窨井盖井边破损等问题推广应用半柔性抗车辙路面技术和</w:t>
      </w:r>
      <w:r>
        <w:rPr>
          <w:rFonts w:ascii="仿宋" w:eastAsia="仿宋" w:hAnsi="仿宋" w:hint="eastAsia"/>
          <w:sz w:val="32"/>
          <w:szCs w:val="32"/>
        </w:rPr>
        <w:t>高耐候超早强混凝土材料</w:t>
      </w:r>
      <w:r>
        <w:rPr>
          <w:rFonts w:ascii="仿宋" w:eastAsia="仿宋" w:hAnsi="仿宋" w:cs="仿宋" w:hint="eastAsia"/>
          <w:sz w:val="32"/>
          <w:szCs w:val="32"/>
        </w:rPr>
        <w:t>；</w:t>
      </w:r>
      <w:r>
        <w:rPr>
          <w:rFonts w:ascii="仿宋" w:eastAsia="仿宋" w:hAnsi="仿宋" w:hint="eastAsia"/>
          <w:sz w:val="32"/>
          <w:szCs w:val="32"/>
          <w:shd w:val="clear" w:color="auto" w:fill="FFFFFF"/>
        </w:rPr>
        <w:t>大力开展市政设施整改提质，依法依规依程序奋力推进船舶碰撞桥梁隐患整治，保质保量安全完成电厂立交排水改造、桥梁独柱墩处治和道路桥梁排水中修专项工程。通过对道路、桥梁、排水设施的精心养护，</w:t>
      </w:r>
      <w:r>
        <w:rPr>
          <w:rFonts w:ascii="仿宋" w:eastAsia="仿宋" w:hAnsi="仿宋" w:hint="eastAsia"/>
          <w:bCs/>
          <w:sz w:val="32"/>
          <w:szCs w:val="32"/>
        </w:rPr>
        <w:t>有效保障设施完好运行，让</w:t>
      </w:r>
      <w:r>
        <w:rPr>
          <w:rFonts w:ascii="仿宋" w:eastAsia="仿宋" w:hAnsi="仿宋" w:hint="eastAsia"/>
          <w:sz w:val="32"/>
          <w:szCs w:val="32"/>
          <w:shd w:val="clear" w:color="auto" w:fill="FFFFFF"/>
        </w:rPr>
        <w:t>市民出行更加安全、顺畅、舒适</w:t>
      </w:r>
      <w:r>
        <w:rPr>
          <w:rFonts w:ascii="仿宋" w:eastAsia="仿宋" w:hAnsi="仿宋" w:cs="仿宋_GB2312" w:hint="eastAsia"/>
          <w:sz w:val="32"/>
          <w:szCs w:val="32"/>
        </w:rPr>
        <w:t>。</w:t>
      </w:r>
    </w:p>
    <w:p w:rsidR="002B3B04" w:rsidRDefault="004D6B1C">
      <w:pPr>
        <w:tabs>
          <w:tab w:val="left" w:pos="7560"/>
        </w:tabs>
        <w:adjustRightInd w:val="0"/>
        <w:snapToGrid w:val="0"/>
        <w:spacing w:line="560" w:lineRule="exact"/>
        <w:ind w:firstLineChars="150" w:firstLine="480"/>
        <w:jc w:val="left"/>
        <w:rPr>
          <w:rFonts w:ascii="楷体_GB2312" w:eastAsia="楷体_GB2312"/>
          <w:sz w:val="32"/>
          <w:szCs w:val="32"/>
        </w:rPr>
      </w:pPr>
      <w:r>
        <w:rPr>
          <w:rFonts w:ascii="楷体_GB2312" w:eastAsia="楷体_GB2312" w:hint="eastAsia"/>
          <w:sz w:val="32"/>
          <w:szCs w:val="32"/>
        </w:rPr>
        <w:lastRenderedPageBreak/>
        <w:t>（二）项目支出绩效情况</w:t>
      </w:r>
    </w:p>
    <w:p w:rsidR="002B3B04" w:rsidRDefault="004D6B1C">
      <w:pPr>
        <w:tabs>
          <w:tab w:val="left" w:pos="7560"/>
        </w:tabs>
        <w:adjustRightInd w:val="0"/>
        <w:snapToGrid w:val="0"/>
        <w:spacing w:line="560" w:lineRule="exact"/>
        <w:ind w:firstLineChars="200" w:firstLine="640"/>
        <w:jc w:val="left"/>
        <w:rPr>
          <w:rFonts w:ascii="仿宋" w:eastAsia="仿宋" w:hAnsi="仿宋"/>
          <w:sz w:val="32"/>
          <w:szCs w:val="32"/>
        </w:rPr>
      </w:pPr>
      <w:r>
        <w:rPr>
          <w:rFonts w:ascii="仿宋_GB2312" w:eastAsia="仿宋_GB2312" w:hint="eastAsia"/>
          <w:sz w:val="32"/>
          <w:szCs w:val="32"/>
        </w:rPr>
        <w:t>1.年初预算项目“</w:t>
      </w:r>
      <w:r>
        <w:rPr>
          <w:rFonts w:ascii="仿宋_GB2312" w:eastAsia="仿宋_GB2312" w:hAnsi="宋体" w:cs="Tahoma" w:hint="eastAsia"/>
          <w:color w:val="000000"/>
          <w:kern w:val="0"/>
          <w:sz w:val="32"/>
          <w:szCs w:val="32"/>
        </w:rPr>
        <w:t>市政道路、排水、桥梁等设施巡查养护、</w:t>
      </w:r>
      <w:r>
        <w:rPr>
          <w:rFonts w:ascii="仿宋" w:eastAsia="仿宋" w:hAnsi="仿宋" w:cs="Tahoma" w:hint="eastAsia"/>
          <w:color w:val="000000"/>
          <w:kern w:val="0"/>
          <w:sz w:val="32"/>
          <w:szCs w:val="32"/>
        </w:rPr>
        <w:t>检测</w:t>
      </w:r>
      <w:r>
        <w:rPr>
          <w:rFonts w:ascii="仿宋" w:eastAsia="仿宋" w:hAnsi="仿宋" w:hint="eastAsia"/>
          <w:sz w:val="32"/>
          <w:szCs w:val="32"/>
        </w:rPr>
        <w:t>专项资金，年中执行调增（减）0万元，实际支出3100万元，结余结转0万元。主要用于支持道路、排水、桥梁日常巡查养护和桥梁检测。项目实施及绩效情况如下：</w:t>
      </w:r>
    </w:p>
    <w:p w:rsidR="002B3B04" w:rsidRDefault="004D6B1C">
      <w:pPr>
        <w:spacing w:line="540" w:lineRule="exact"/>
        <w:ind w:firstLineChars="200" w:firstLine="640"/>
        <w:rPr>
          <w:rFonts w:ascii="仿宋" w:eastAsia="仿宋" w:hAnsi="仿宋"/>
          <w:sz w:val="32"/>
          <w:szCs w:val="32"/>
        </w:rPr>
      </w:pPr>
      <w:r>
        <w:rPr>
          <w:rFonts w:ascii="仿宋" w:eastAsia="仿宋" w:hAnsi="仿宋" w:hint="eastAsia"/>
          <w:sz w:val="32"/>
          <w:szCs w:val="32"/>
        </w:rPr>
        <w:t>我中心根据年初市政设施摸排的运行情况，严格制定日常养护的年度计划和桥梁设施的检测计划，实施过程中，各作业中心根据年度计划进行月度分解，制定月度养护计划。同时，加强日常巡查，提前发现问题，及时消除安全隐患。对12345市长热线、数字城管派单、主管局和其他单位下达转交的整改清单，均在时限内完成整改，确保了辖区市政设施的完好、安全运行，中心按年度计划圆满完成了各项市政设施日常养护任务。</w:t>
      </w:r>
    </w:p>
    <w:p w:rsidR="002B3B04" w:rsidRPr="000D49BF" w:rsidRDefault="004D6B1C">
      <w:pPr>
        <w:spacing w:line="540" w:lineRule="exact"/>
        <w:ind w:firstLineChars="200" w:firstLine="640"/>
        <w:rPr>
          <w:rFonts w:ascii="仿宋" w:eastAsia="仿宋" w:hAnsi="仿宋"/>
          <w:sz w:val="32"/>
          <w:szCs w:val="32"/>
        </w:rPr>
      </w:pPr>
      <w:r>
        <w:rPr>
          <w:rFonts w:ascii="仿宋" w:eastAsia="仿宋" w:hAnsi="仿宋" w:hint="eastAsia"/>
          <w:sz w:val="32"/>
          <w:szCs w:val="32"/>
        </w:rPr>
        <w:t>（1）道路方面，对管辖范围内的车行道坑洞修补、车行道铣刨维修、侧石调升、更换、道路开槽灌缝，新增U型护柱、立柱，对东环线破损路基进行水泥注浆稳固维修，对市管区域77条主次干道所辖窨井盖设施进行</w:t>
      </w:r>
      <w:r w:rsidRPr="000D49BF">
        <w:rPr>
          <w:rFonts w:ascii="仿宋" w:eastAsia="仿宋" w:hAnsi="仿宋" w:hint="eastAsia"/>
          <w:sz w:val="32"/>
          <w:szCs w:val="32"/>
        </w:rPr>
        <w:t>全方位的摸底排查，对排查发现窨井盖问题进行整治。通过道路维修，改善了市容市貌以及道路的耐久性，及时消除了道路安全隐患。</w:t>
      </w:r>
    </w:p>
    <w:p w:rsidR="002B3B04" w:rsidRPr="000D49BF" w:rsidRDefault="004D6B1C">
      <w:pPr>
        <w:spacing w:line="540" w:lineRule="exact"/>
        <w:ind w:firstLineChars="200" w:firstLine="640"/>
        <w:rPr>
          <w:rFonts w:ascii="仿宋" w:eastAsia="仿宋" w:hAnsi="仿宋"/>
          <w:sz w:val="32"/>
          <w:szCs w:val="32"/>
        </w:rPr>
      </w:pPr>
      <w:r w:rsidRPr="000D49BF">
        <w:rPr>
          <w:rFonts w:ascii="仿宋" w:eastAsia="仿宋" w:hAnsi="仿宋" w:hint="eastAsia"/>
          <w:sz w:val="32"/>
          <w:szCs w:val="32"/>
        </w:rPr>
        <w:t>（2）排水方面，做好汛期清淤工作，对易积水点</w:t>
      </w:r>
      <w:r w:rsidRPr="000D49BF">
        <w:rPr>
          <w:rFonts w:ascii="仿宋" w:eastAsia="仿宋" w:hAnsi="仿宋"/>
          <w:sz w:val="32"/>
          <w:szCs w:val="32"/>
        </w:rPr>
        <w:t>及重点路段进行管道清疏</w:t>
      </w:r>
      <w:r w:rsidRPr="000D49BF">
        <w:rPr>
          <w:rFonts w:ascii="仿宋" w:eastAsia="仿宋" w:hAnsi="仿宋" w:hint="eastAsia"/>
          <w:sz w:val="32"/>
          <w:szCs w:val="32"/>
        </w:rPr>
        <w:t>、年度内完成77条主次干道日常清淤，有效确保排水管网畅通，保证汛期安全。对低洼地段、易积水路段及老式、井室高检查井防坠网进行排查安装，完成了33处堵点改造，</w:t>
      </w:r>
      <w:r w:rsidRPr="000D49BF">
        <w:rPr>
          <w:rFonts w:ascii="仿宋" w:eastAsia="仿宋" w:hAnsi="仿宋"/>
          <w:sz w:val="32"/>
          <w:szCs w:val="32"/>
        </w:rPr>
        <w:t>解决了一些痛点难点问题，疏通了排水管道“毛细血管”，</w:t>
      </w:r>
      <w:r w:rsidRPr="000D49BF">
        <w:rPr>
          <w:rFonts w:ascii="仿宋" w:eastAsia="仿宋" w:hAnsi="仿宋" w:hint="eastAsia"/>
          <w:sz w:val="32"/>
          <w:szCs w:val="32"/>
        </w:rPr>
        <w:t>有效确保排水管网畅通</w:t>
      </w:r>
      <w:r w:rsidRPr="000D49BF">
        <w:rPr>
          <w:rFonts w:ascii="仿宋" w:eastAsia="仿宋" w:hAnsi="仿宋"/>
          <w:sz w:val="32"/>
          <w:szCs w:val="32"/>
        </w:rPr>
        <w:t>，得到了市民的广泛认可。</w:t>
      </w:r>
      <w:r w:rsidRPr="000D49BF">
        <w:rPr>
          <w:rFonts w:ascii="仿宋" w:eastAsia="仿宋" w:hAnsi="仿宋" w:hint="eastAsia"/>
          <w:sz w:val="32"/>
          <w:szCs w:val="32"/>
        </w:rPr>
        <w:t>制定</w:t>
      </w:r>
      <w:r w:rsidRPr="000D49BF">
        <w:rPr>
          <w:rFonts w:ascii="仿宋" w:eastAsia="仿宋" w:hAnsi="仿宋"/>
          <w:sz w:val="32"/>
          <w:szCs w:val="32"/>
        </w:rPr>
        <w:t>完善</w:t>
      </w:r>
      <w:r w:rsidRPr="000D49BF">
        <w:rPr>
          <w:rFonts w:ascii="仿宋" w:eastAsia="仿宋" w:hAnsi="仿宋" w:hint="eastAsia"/>
          <w:sz w:val="32"/>
          <w:szCs w:val="32"/>
        </w:rPr>
        <w:t>中心泵站管理制度，</w:t>
      </w:r>
      <w:r w:rsidRPr="000D49BF">
        <w:rPr>
          <w:rFonts w:ascii="仿宋" w:eastAsia="仿宋" w:hAnsi="仿宋"/>
          <w:sz w:val="32"/>
          <w:szCs w:val="32"/>
        </w:rPr>
        <w:t>并将相关制度上墙，</w:t>
      </w:r>
      <w:r w:rsidRPr="000D49BF">
        <w:rPr>
          <w:rFonts w:ascii="仿宋" w:eastAsia="仿宋" w:hAnsi="仿宋" w:hint="eastAsia"/>
          <w:sz w:val="32"/>
          <w:szCs w:val="32"/>
        </w:rPr>
        <w:t>做好泵站日常巡查、机组检修、机组运行等日</w:t>
      </w:r>
      <w:r w:rsidRPr="000D49BF">
        <w:rPr>
          <w:rFonts w:ascii="仿宋" w:eastAsia="仿宋" w:hAnsi="仿宋" w:hint="eastAsia"/>
          <w:sz w:val="32"/>
          <w:szCs w:val="32"/>
        </w:rPr>
        <w:lastRenderedPageBreak/>
        <w:t>常养护工作，完成合泰涵洞泵站电缆维修更换、高压柜更换，配变电压器、高压柜检测工作，有效确保泵站安全运行。</w:t>
      </w:r>
    </w:p>
    <w:p w:rsidR="002B3B04" w:rsidRPr="000D49BF" w:rsidRDefault="004D6B1C">
      <w:pPr>
        <w:spacing w:line="540" w:lineRule="exact"/>
        <w:ind w:firstLineChars="200" w:firstLine="640"/>
        <w:rPr>
          <w:rFonts w:ascii="仿宋" w:eastAsia="仿宋" w:hAnsi="仿宋"/>
          <w:sz w:val="32"/>
          <w:szCs w:val="32"/>
        </w:rPr>
      </w:pPr>
      <w:r w:rsidRPr="000D49BF">
        <w:rPr>
          <w:rFonts w:ascii="仿宋" w:eastAsia="仿宋" w:hAnsi="仿宋" w:hint="eastAsia"/>
          <w:sz w:val="32"/>
          <w:szCs w:val="32"/>
        </w:rPr>
        <w:t>（3）桥梁方面，桥梁养护中心严格按照规范要求，对辖区内设施进行日常养护工作。对2021年度桥梁检测发现的病害问题安排重点维修养护，及时消除安全隐患，确保设施安全运行。完成伸缩缝清理、护坡清理、排水管维修、桥面坑洞维修、伸缩缝维修、止水带更换、裂缝维修、露筋维修、行道维修、墙面瓷砖维修、护栏维修、防撞桶更换、隔音屏更换、钢化玻璃更换、排水盖板更换。通过对桥梁设施的精心养护，市政桥梁更加安全稳固，城市更美丽、安全、畅通、智慧，人们出行更加顺畅、安全、舒适，市民的满意度和获得感进一步提升，取得了较好的社会效益。</w:t>
      </w:r>
    </w:p>
    <w:p w:rsidR="002B3B04" w:rsidRPr="000D49BF" w:rsidRDefault="004D6B1C">
      <w:pPr>
        <w:spacing w:line="540" w:lineRule="exact"/>
        <w:ind w:firstLine="645"/>
        <w:rPr>
          <w:rFonts w:ascii="仿宋" w:eastAsia="仿宋" w:hAnsi="仿宋"/>
          <w:sz w:val="32"/>
          <w:szCs w:val="32"/>
        </w:rPr>
      </w:pPr>
      <w:r w:rsidRPr="000D49BF">
        <w:rPr>
          <w:rFonts w:ascii="仿宋" w:eastAsia="仿宋" w:hAnsi="仿宋" w:hint="eastAsia"/>
          <w:sz w:val="32"/>
          <w:szCs w:val="32"/>
        </w:rPr>
        <w:t>（4）市政应急方面，中心坚持安全、及时、高效做好市政应急处置。汛期期间做好排水防涝处置；冰雪中高标准完成跨江大桥保畅通、保安全任务</w:t>
      </w:r>
      <w:r w:rsidRPr="000D49BF">
        <w:rPr>
          <w:rFonts w:ascii="仿宋" w:eastAsia="仿宋" w:hAnsi="仿宋" w:cs="仿宋_GB2312" w:hint="eastAsia"/>
          <w:sz w:val="32"/>
          <w:szCs w:val="32"/>
        </w:rPr>
        <w:t>，</w:t>
      </w:r>
      <w:r w:rsidRPr="000D49BF">
        <w:rPr>
          <w:rFonts w:ascii="仿宋" w:eastAsia="仿宋" w:hAnsi="仿宋" w:hint="eastAsia"/>
          <w:sz w:val="32"/>
          <w:szCs w:val="32"/>
        </w:rPr>
        <w:t>有力保障了市政设施安全运行和市民的安全顺畅出行。</w:t>
      </w:r>
    </w:p>
    <w:p w:rsidR="002B3B04" w:rsidRPr="000D49BF" w:rsidRDefault="004D6B1C">
      <w:pPr>
        <w:spacing w:line="540" w:lineRule="exact"/>
        <w:ind w:firstLine="645"/>
        <w:rPr>
          <w:rFonts w:ascii="仿宋" w:eastAsia="仿宋" w:hAnsi="仿宋"/>
          <w:sz w:val="32"/>
          <w:szCs w:val="32"/>
        </w:rPr>
      </w:pPr>
      <w:r w:rsidRPr="000D49BF">
        <w:rPr>
          <w:rFonts w:ascii="仿宋" w:eastAsia="仿宋" w:hAnsi="仿宋" w:hint="eastAsia"/>
          <w:sz w:val="32"/>
          <w:szCs w:val="32"/>
        </w:rPr>
        <w:t>（5）市政设施检测</w:t>
      </w:r>
    </w:p>
    <w:p w:rsidR="002B3B04" w:rsidRPr="000D49BF" w:rsidRDefault="004D6B1C">
      <w:pPr>
        <w:spacing w:line="540" w:lineRule="exact"/>
        <w:ind w:firstLineChars="300" w:firstLine="960"/>
        <w:rPr>
          <w:rFonts w:ascii="宋体" w:hAnsi="宋体"/>
          <w:sz w:val="32"/>
          <w:szCs w:val="32"/>
        </w:rPr>
      </w:pPr>
      <w:r w:rsidRPr="000D49BF">
        <w:rPr>
          <w:rFonts w:ascii="仿宋" w:eastAsia="仿宋" w:hAnsi="仿宋" w:hint="eastAsia"/>
          <w:sz w:val="32"/>
          <w:szCs w:val="32"/>
        </w:rPr>
        <w:t>2022年完成了10座城市涉水、涉铁桥及人行天桥常规定期检测工作，完成了15座城市跨线及立交桥常规定期检测工作，完成了13座城市涉水、人行中小桥常规定期检测工作，并出具了相关检测报告。完成了道路空洞隐患探测工作。雷达探测14条（24段）道路，探测共发现16处病害体目标，相关结论已报送中心相关部门，养护部门及时对病害问题进行整改。</w:t>
      </w:r>
    </w:p>
    <w:p w:rsidR="002B3B04" w:rsidRPr="000D49BF" w:rsidRDefault="004D6B1C">
      <w:pPr>
        <w:spacing w:line="540" w:lineRule="exact"/>
        <w:ind w:firstLineChars="200" w:firstLine="640"/>
        <w:rPr>
          <w:rFonts w:ascii="仿宋" w:eastAsia="仿宋" w:hAnsi="仿宋"/>
          <w:sz w:val="32"/>
          <w:szCs w:val="32"/>
        </w:rPr>
      </w:pPr>
      <w:r w:rsidRPr="000D49BF">
        <w:rPr>
          <w:rFonts w:ascii="仿宋" w:eastAsia="仿宋" w:hAnsi="仿宋" w:hint="eastAsia"/>
          <w:sz w:val="32"/>
          <w:szCs w:val="32"/>
        </w:rPr>
        <w:t>中心秉承打造“道路平整通行好、管网排水功能好、桥梁通道状态好、路政应急服务好、养护维修质量好”的五好市政，通过对市政设施的精心维护，有效保障了辖区范围设施安全完好地运行，为广大市民出行提供顺畅、安全、舒适的出行环境，提高了人民群</w:t>
      </w:r>
      <w:r w:rsidRPr="000D49BF">
        <w:rPr>
          <w:rFonts w:ascii="仿宋" w:eastAsia="仿宋" w:hAnsi="仿宋" w:hint="eastAsia"/>
          <w:sz w:val="32"/>
          <w:szCs w:val="32"/>
        </w:rPr>
        <w:lastRenderedPageBreak/>
        <w:t>众的满意度和幸福感。</w:t>
      </w:r>
    </w:p>
    <w:p w:rsidR="002B3B04" w:rsidRPr="000D49BF" w:rsidRDefault="004D6B1C">
      <w:pPr>
        <w:tabs>
          <w:tab w:val="left" w:pos="7560"/>
        </w:tabs>
        <w:adjustRightInd w:val="0"/>
        <w:snapToGrid w:val="0"/>
        <w:spacing w:line="540" w:lineRule="exact"/>
        <w:ind w:firstLineChars="200" w:firstLine="640"/>
        <w:jc w:val="left"/>
        <w:rPr>
          <w:rFonts w:ascii="仿宋" w:eastAsia="仿宋" w:hAnsi="仿宋"/>
          <w:sz w:val="32"/>
          <w:szCs w:val="32"/>
        </w:rPr>
      </w:pPr>
      <w:r w:rsidRPr="000D49BF">
        <w:rPr>
          <w:rFonts w:ascii="仿宋" w:eastAsia="仿宋" w:hAnsi="仿宋" w:hint="eastAsia"/>
          <w:sz w:val="32"/>
          <w:szCs w:val="32"/>
        </w:rPr>
        <w:t>2.年中追加“2022年道路、排水和桥梁中修专项，创文整改专项”等项目，金额1262.86万元，实际支出825.42万元。</w:t>
      </w:r>
      <w:r w:rsidRPr="000D49BF">
        <w:rPr>
          <w:rFonts w:ascii="仿宋_GB2312" w:eastAsia="仿宋_GB2312" w:hint="eastAsia"/>
          <w:sz w:val="32"/>
          <w:szCs w:val="32"/>
        </w:rPr>
        <w:t>项目实施及绩效情况如下：</w:t>
      </w:r>
    </w:p>
    <w:p w:rsidR="002B3B04" w:rsidRPr="000D49BF" w:rsidRDefault="004D6B1C">
      <w:pPr>
        <w:tabs>
          <w:tab w:val="left" w:pos="7560"/>
        </w:tabs>
        <w:adjustRightInd w:val="0"/>
        <w:snapToGrid w:val="0"/>
        <w:spacing w:line="540" w:lineRule="exact"/>
        <w:ind w:firstLineChars="200" w:firstLine="640"/>
        <w:jc w:val="left"/>
        <w:rPr>
          <w:rFonts w:ascii="仿宋" w:eastAsia="仿宋" w:hAnsi="仿宋"/>
          <w:sz w:val="32"/>
          <w:szCs w:val="32"/>
        </w:rPr>
      </w:pPr>
      <w:r w:rsidRPr="000D49BF">
        <w:rPr>
          <w:rFonts w:ascii="仿宋" w:eastAsia="仿宋" w:hAnsi="仿宋" w:hint="eastAsia"/>
          <w:sz w:val="32"/>
          <w:szCs w:val="32"/>
        </w:rPr>
        <w:t>（1）2022年道路中修项目</w:t>
      </w:r>
    </w:p>
    <w:p w:rsidR="002B3B04" w:rsidRPr="000D49BF" w:rsidRDefault="004D6B1C">
      <w:pPr>
        <w:spacing w:line="540" w:lineRule="exact"/>
        <w:ind w:firstLineChars="200" w:firstLine="640"/>
        <w:rPr>
          <w:rFonts w:ascii="仿宋_GB2312" w:eastAsia="仿宋_GB2312"/>
          <w:sz w:val="32"/>
          <w:szCs w:val="32"/>
        </w:rPr>
      </w:pPr>
      <w:r w:rsidRPr="000D49BF">
        <w:rPr>
          <w:rFonts w:ascii="仿宋" w:eastAsia="仿宋" w:hAnsi="仿宋" w:hint="eastAsia"/>
          <w:sz w:val="32"/>
          <w:szCs w:val="32"/>
        </w:rPr>
        <w:t>2022年项目支出405.89万元，</w:t>
      </w:r>
      <w:bookmarkStart w:id="0" w:name="_GoBack"/>
      <w:r w:rsidRPr="000D49BF">
        <w:rPr>
          <w:rFonts w:ascii="仿宋" w:eastAsia="仿宋" w:hAnsi="仿宋" w:hint="eastAsia"/>
          <w:sz w:val="32"/>
          <w:szCs w:val="32"/>
        </w:rPr>
        <w:t>主要用于</w:t>
      </w:r>
      <w:r w:rsidR="00210EF3" w:rsidRPr="000D49BF">
        <w:rPr>
          <w:rFonts w:ascii="仿宋" w:eastAsia="仿宋" w:hAnsi="仿宋" w:cs="仿宋" w:hint="eastAsia"/>
          <w:sz w:val="32"/>
          <w:szCs w:val="32"/>
        </w:rPr>
        <w:t>枫溪大道、人民中路等十余条道路中修及</w:t>
      </w:r>
      <w:r w:rsidRPr="000D49BF">
        <w:rPr>
          <w:rFonts w:ascii="仿宋" w:eastAsia="仿宋" w:hAnsi="仿宋" w:cs="仿宋" w:hint="eastAsia"/>
          <w:sz w:val="32"/>
          <w:szCs w:val="32"/>
        </w:rPr>
        <w:t>封闭东环北路三处绿化开口等项目</w:t>
      </w:r>
      <w:r w:rsidRPr="000D49BF">
        <w:rPr>
          <w:rFonts w:ascii="仿宋" w:eastAsia="仿宋" w:hAnsi="仿宋" w:hint="eastAsia"/>
          <w:sz w:val="32"/>
          <w:szCs w:val="32"/>
        </w:rPr>
        <w:t>。</w:t>
      </w:r>
      <w:r w:rsidRPr="000D49BF">
        <w:rPr>
          <w:rFonts w:ascii="仿宋_GB2312" w:eastAsia="仿宋_GB2312" w:hint="eastAsia"/>
          <w:sz w:val="32"/>
          <w:szCs w:val="32"/>
        </w:rPr>
        <w:t>项目实施及绩效情况：</w:t>
      </w:r>
    </w:p>
    <w:bookmarkEnd w:id="0"/>
    <w:p w:rsidR="002B3B04" w:rsidRPr="000D49BF" w:rsidRDefault="004D6B1C">
      <w:pPr>
        <w:spacing w:line="540" w:lineRule="exact"/>
        <w:ind w:firstLineChars="200" w:firstLine="640"/>
        <w:rPr>
          <w:rFonts w:ascii="仿宋" w:eastAsia="仿宋" w:hAnsi="仿宋" w:cs="仿宋"/>
          <w:sz w:val="32"/>
          <w:szCs w:val="32"/>
        </w:rPr>
      </w:pPr>
      <w:r w:rsidRPr="000D49BF">
        <w:rPr>
          <w:rFonts w:ascii="仿宋" w:eastAsia="仿宋" w:hAnsi="仿宋" w:cs="仿宋" w:hint="eastAsia"/>
          <w:sz w:val="32"/>
          <w:szCs w:val="32"/>
        </w:rPr>
        <w:t>2022年道路中修项目是《株洲市2022年本级政府投资计划》中本级财政投入项目，总投资2003.6万元。项目于2022年10月底全面开工，目前除枫溪大道（芦淞区自然资源局至小巨蛋酒店）、茨菇塘路（钻石路-长寿路口）道路中修以及枫溪大道东侧（烟草局-天池路）、枫溪大道西侧（烟草局-天池路）人行道中修外，其余项目已全面完工。枫溪大道道路及行道中修因</w:t>
      </w:r>
      <w:r w:rsidR="00647713" w:rsidRPr="000D49BF">
        <w:rPr>
          <w:rFonts w:ascii="仿宋" w:eastAsia="仿宋" w:hAnsi="仿宋" w:cs="仿宋" w:hint="eastAsia"/>
          <w:sz w:val="32"/>
          <w:szCs w:val="32"/>
        </w:rPr>
        <w:t>当地</w:t>
      </w:r>
      <w:r w:rsidRPr="000D49BF">
        <w:rPr>
          <w:rFonts w:ascii="仿宋" w:eastAsia="仿宋" w:hAnsi="仿宋" w:cs="仿宋" w:hint="eastAsia"/>
          <w:sz w:val="32"/>
          <w:szCs w:val="32"/>
        </w:rPr>
        <w:t>村民</w:t>
      </w:r>
      <w:r w:rsidR="00647713" w:rsidRPr="000D49BF">
        <w:rPr>
          <w:rFonts w:ascii="仿宋" w:eastAsia="仿宋" w:hAnsi="仿宋" w:cs="仿宋" w:hint="eastAsia"/>
          <w:sz w:val="32"/>
          <w:szCs w:val="32"/>
        </w:rPr>
        <w:t>要求赔偿</w:t>
      </w:r>
      <w:r w:rsidR="008450CE" w:rsidRPr="000D49BF">
        <w:rPr>
          <w:rFonts w:ascii="仿宋" w:eastAsia="仿宋" w:hAnsi="仿宋" w:cs="仿宋" w:hint="eastAsia"/>
          <w:sz w:val="32"/>
          <w:szCs w:val="32"/>
        </w:rPr>
        <w:t>，</w:t>
      </w:r>
      <w:r w:rsidR="00647713" w:rsidRPr="000D49BF">
        <w:rPr>
          <w:rFonts w:ascii="仿宋" w:eastAsia="仿宋" w:hAnsi="仿宋" w:cs="仿宋" w:hint="eastAsia"/>
          <w:sz w:val="32"/>
          <w:szCs w:val="32"/>
        </w:rPr>
        <w:t>协商未果</w:t>
      </w:r>
      <w:r w:rsidR="008450CE" w:rsidRPr="000D49BF">
        <w:rPr>
          <w:rFonts w:ascii="仿宋" w:eastAsia="仿宋" w:hAnsi="仿宋" w:cs="仿宋" w:hint="eastAsia"/>
          <w:sz w:val="32"/>
          <w:szCs w:val="32"/>
        </w:rPr>
        <w:t>而</w:t>
      </w:r>
      <w:r w:rsidRPr="000D49BF">
        <w:rPr>
          <w:rFonts w:ascii="仿宋" w:eastAsia="仿宋" w:hAnsi="仿宋" w:cs="仿宋" w:hint="eastAsia"/>
          <w:sz w:val="32"/>
          <w:szCs w:val="32"/>
        </w:rPr>
        <w:t>阻工</w:t>
      </w:r>
      <w:r w:rsidR="008450CE" w:rsidRPr="000D49BF">
        <w:rPr>
          <w:rFonts w:ascii="仿宋" w:eastAsia="仿宋" w:hAnsi="仿宋" w:cs="仿宋" w:hint="eastAsia"/>
          <w:sz w:val="32"/>
          <w:szCs w:val="32"/>
        </w:rPr>
        <w:t>导致</w:t>
      </w:r>
      <w:r w:rsidRPr="000D49BF">
        <w:rPr>
          <w:rFonts w:ascii="仿宋" w:eastAsia="仿宋" w:hAnsi="仿宋" w:cs="仿宋" w:hint="eastAsia"/>
          <w:sz w:val="32"/>
          <w:szCs w:val="32"/>
        </w:rPr>
        <w:t>未完</w:t>
      </w:r>
      <w:r w:rsidR="008450CE" w:rsidRPr="000D49BF">
        <w:rPr>
          <w:rFonts w:ascii="仿宋" w:eastAsia="仿宋" w:hAnsi="仿宋" w:cs="仿宋" w:hint="eastAsia"/>
          <w:sz w:val="32"/>
          <w:szCs w:val="32"/>
        </w:rPr>
        <w:t>工</w:t>
      </w:r>
      <w:r w:rsidRPr="000D49BF">
        <w:rPr>
          <w:rFonts w:ascii="仿宋" w:eastAsia="仿宋" w:hAnsi="仿宋" w:cs="仿宋" w:hint="eastAsia"/>
          <w:sz w:val="32"/>
          <w:szCs w:val="32"/>
        </w:rPr>
        <w:t>，茨菇塘路中修因荷塘区城建局污水改造项目实施范围冲突推迟实施。</w:t>
      </w:r>
    </w:p>
    <w:p w:rsidR="002B3B04" w:rsidRPr="000D49BF" w:rsidRDefault="000D49B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维修前现状：枫溪大道等路段</w:t>
      </w:r>
      <w:r w:rsidR="004D6B1C" w:rsidRPr="000D49BF">
        <w:rPr>
          <w:rFonts w:ascii="仿宋" w:eastAsia="仿宋" w:hAnsi="仿宋" w:cs="仿宋"/>
          <w:sz w:val="32"/>
          <w:szCs w:val="32"/>
        </w:rPr>
        <w:t>整体情况差，路面破损严重，局部路段低洼积水。市府路沉陷区路基沉降问题严重。</w:t>
      </w:r>
      <w:r w:rsidR="004D6B1C" w:rsidRPr="000D49BF">
        <w:rPr>
          <w:rFonts w:ascii="仿宋" w:eastAsia="仿宋" w:hAnsi="仿宋" w:cs="仿宋" w:hint="eastAsia"/>
          <w:sz w:val="32"/>
          <w:szCs w:val="32"/>
        </w:rPr>
        <w:t>南郊垃圾车内部道路</w:t>
      </w:r>
      <w:r w:rsidR="004D6B1C" w:rsidRPr="000D49BF">
        <w:rPr>
          <w:rFonts w:ascii="仿宋" w:eastAsia="仿宋" w:hAnsi="仿宋" w:cs="仿宋"/>
          <w:sz w:val="32"/>
          <w:szCs w:val="32"/>
        </w:rPr>
        <w:t>出现板角断裂，局部区域板块损坏严重</w:t>
      </w:r>
      <w:r w:rsidR="004D6B1C" w:rsidRPr="000D49BF">
        <w:rPr>
          <w:rFonts w:ascii="仿宋" w:eastAsia="仿宋" w:hAnsi="仿宋" w:cs="仿宋" w:hint="eastAsia"/>
          <w:sz w:val="32"/>
          <w:szCs w:val="32"/>
        </w:rPr>
        <w:t>。东环北路中央分隔带开口掉头存在严重的安全隐患。果园路</w:t>
      </w:r>
      <w:r>
        <w:rPr>
          <w:rFonts w:ascii="仿宋" w:eastAsia="仿宋" w:hAnsi="仿宋" w:cs="仿宋" w:hint="eastAsia"/>
          <w:sz w:val="32"/>
          <w:szCs w:val="32"/>
        </w:rPr>
        <w:t>等路段</w:t>
      </w:r>
      <w:r w:rsidR="004D6B1C" w:rsidRPr="000D49BF">
        <w:rPr>
          <w:rFonts w:ascii="仿宋" w:eastAsia="仿宋" w:hAnsi="仿宋" w:cs="仿宋" w:hint="eastAsia"/>
          <w:sz w:val="32"/>
          <w:szCs w:val="32"/>
        </w:rPr>
        <w:t>人</w:t>
      </w:r>
      <w:r w:rsidR="004D6B1C" w:rsidRPr="000D49BF">
        <w:rPr>
          <w:rFonts w:ascii="仿宋" w:eastAsia="仿宋" w:hAnsi="仿宋" w:cs="仿宋"/>
          <w:sz w:val="32"/>
          <w:szCs w:val="32"/>
        </w:rPr>
        <w:t>行道砖局部有沉陷和隆起和坑槽，且果园路行道树生长茂盛根系发达，严重破坏人行道的路基和路面。</w:t>
      </w:r>
    </w:p>
    <w:p w:rsidR="002B3B04" w:rsidRPr="000D49BF" w:rsidRDefault="004D6B1C">
      <w:pPr>
        <w:spacing w:line="540" w:lineRule="exact"/>
        <w:ind w:firstLineChars="200" w:firstLine="640"/>
        <w:rPr>
          <w:rFonts w:ascii="仿宋" w:eastAsia="仿宋" w:hAnsi="仿宋"/>
          <w:sz w:val="32"/>
          <w:szCs w:val="32"/>
        </w:rPr>
      </w:pPr>
      <w:r w:rsidRPr="000D49BF">
        <w:rPr>
          <w:rFonts w:ascii="仿宋" w:eastAsia="仿宋" w:hAnsi="仿宋" w:cs="仿宋" w:hint="eastAsia"/>
          <w:sz w:val="32"/>
          <w:szCs w:val="32"/>
        </w:rPr>
        <w:t>该项目完工后，大大改善了改造后路段行人通行、行车的舒适度，</w:t>
      </w:r>
      <w:r w:rsidRPr="000D49BF">
        <w:rPr>
          <w:rFonts w:ascii="仿宋" w:eastAsia="仿宋" w:hAnsi="仿宋" w:cs="仿宋"/>
          <w:sz w:val="32"/>
          <w:szCs w:val="32"/>
        </w:rPr>
        <w:t>方便</w:t>
      </w:r>
      <w:r w:rsidRPr="000D49BF">
        <w:rPr>
          <w:rFonts w:ascii="仿宋" w:eastAsia="仿宋" w:hAnsi="仿宋" w:cs="仿宋" w:hint="eastAsia"/>
          <w:sz w:val="32"/>
          <w:szCs w:val="32"/>
        </w:rPr>
        <w:t>了</w:t>
      </w:r>
      <w:r w:rsidRPr="000D49BF">
        <w:rPr>
          <w:rFonts w:ascii="仿宋" w:eastAsia="仿宋" w:hAnsi="仿宋" w:cs="仿宋"/>
          <w:sz w:val="32"/>
          <w:szCs w:val="32"/>
        </w:rPr>
        <w:t>周边企事业单位和居民的生活，促进</w:t>
      </w:r>
      <w:r w:rsidRPr="000D49BF">
        <w:rPr>
          <w:rFonts w:ascii="仿宋" w:eastAsia="仿宋" w:hAnsi="仿宋" w:cs="仿宋" w:hint="eastAsia"/>
          <w:sz w:val="32"/>
          <w:szCs w:val="32"/>
        </w:rPr>
        <w:t>了</w:t>
      </w:r>
      <w:r w:rsidRPr="000D49BF">
        <w:rPr>
          <w:rFonts w:ascii="仿宋" w:eastAsia="仿宋" w:hAnsi="仿宋" w:cs="仿宋"/>
          <w:sz w:val="32"/>
          <w:szCs w:val="32"/>
        </w:rPr>
        <w:t>社会的和谐发展</w:t>
      </w:r>
      <w:r w:rsidRPr="000D49BF">
        <w:rPr>
          <w:rFonts w:ascii="仿宋" w:eastAsia="仿宋" w:hAnsi="仿宋" w:cs="仿宋" w:hint="eastAsia"/>
          <w:sz w:val="32"/>
          <w:szCs w:val="32"/>
        </w:rPr>
        <w:t>。</w:t>
      </w:r>
    </w:p>
    <w:p w:rsidR="002B3B04" w:rsidRPr="000D49BF" w:rsidRDefault="004D6B1C">
      <w:pPr>
        <w:tabs>
          <w:tab w:val="left" w:pos="7560"/>
        </w:tabs>
        <w:adjustRightInd w:val="0"/>
        <w:snapToGrid w:val="0"/>
        <w:spacing w:line="540" w:lineRule="exact"/>
        <w:ind w:firstLineChars="200" w:firstLine="640"/>
        <w:jc w:val="left"/>
        <w:rPr>
          <w:rFonts w:ascii="仿宋" w:eastAsia="仿宋" w:hAnsi="仿宋"/>
          <w:sz w:val="32"/>
          <w:szCs w:val="32"/>
        </w:rPr>
      </w:pPr>
      <w:r w:rsidRPr="000D49BF">
        <w:rPr>
          <w:rFonts w:ascii="仿宋" w:eastAsia="仿宋" w:hAnsi="仿宋" w:hint="eastAsia"/>
          <w:sz w:val="32"/>
          <w:szCs w:val="32"/>
        </w:rPr>
        <w:t>（2）2022年排水专项维修项目</w:t>
      </w:r>
    </w:p>
    <w:p w:rsidR="002B3B04" w:rsidRPr="000D49BF" w:rsidRDefault="004D6B1C">
      <w:pPr>
        <w:spacing w:line="540" w:lineRule="exact"/>
        <w:ind w:firstLineChars="200" w:firstLine="640"/>
        <w:rPr>
          <w:rFonts w:ascii="仿宋_GB2312" w:eastAsia="仿宋_GB2312"/>
          <w:sz w:val="32"/>
          <w:szCs w:val="32"/>
        </w:rPr>
      </w:pPr>
      <w:r w:rsidRPr="000D49BF">
        <w:rPr>
          <w:rFonts w:ascii="仿宋" w:eastAsia="仿宋" w:hAnsi="仿宋" w:hint="eastAsia"/>
          <w:sz w:val="32"/>
          <w:szCs w:val="32"/>
        </w:rPr>
        <w:t>2022年项目支出52.22万元，主要用于</w:t>
      </w:r>
      <w:r w:rsidRPr="000D49BF">
        <w:rPr>
          <w:rFonts w:ascii="仿宋" w:eastAsia="仿宋" w:hAnsi="仿宋" w:cs="仿宋" w:hint="eastAsia"/>
          <w:sz w:val="32"/>
          <w:szCs w:val="32"/>
        </w:rPr>
        <w:t>株董路（雅马哈减震</w:t>
      </w:r>
      <w:r w:rsidRPr="000D49BF">
        <w:rPr>
          <w:rFonts w:ascii="仿宋" w:eastAsia="仿宋" w:hAnsi="仿宋" w:cs="仿宋" w:hint="eastAsia"/>
          <w:sz w:val="32"/>
          <w:szCs w:val="32"/>
        </w:rPr>
        <w:lastRenderedPageBreak/>
        <w:t>器厂至株董路桥）、市府路（人民南路至建设南路）排水专项维修</w:t>
      </w:r>
      <w:r w:rsidRPr="000D49BF">
        <w:rPr>
          <w:rFonts w:ascii="仿宋" w:eastAsia="仿宋" w:hAnsi="仿宋" w:hint="eastAsia"/>
          <w:sz w:val="32"/>
          <w:szCs w:val="32"/>
        </w:rPr>
        <w:t>。</w:t>
      </w:r>
      <w:r w:rsidRPr="000D49BF">
        <w:rPr>
          <w:rFonts w:ascii="仿宋_GB2312" w:eastAsia="仿宋_GB2312" w:hint="eastAsia"/>
          <w:sz w:val="32"/>
          <w:szCs w:val="32"/>
        </w:rPr>
        <w:t>项目实施及绩效情况：</w:t>
      </w:r>
    </w:p>
    <w:p w:rsidR="002B3B04" w:rsidRPr="000D49BF" w:rsidRDefault="004D6B1C">
      <w:pPr>
        <w:spacing w:line="540" w:lineRule="exact"/>
        <w:ind w:firstLineChars="200" w:firstLine="640"/>
        <w:rPr>
          <w:rFonts w:ascii="仿宋" w:eastAsia="仿宋" w:hAnsi="仿宋" w:cs="仿宋"/>
          <w:sz w:val="32"/>
          <w:szCs w:val="32"/>
        </w:rPr>
      </w:pPr>
      <w:r w:rsidRPr="000D49BF">
        <w:rPr>
          <w:rFonts w:ascii="仿宋" w:eastAsia="仿宋" w:hAnsi="仿宋" w:cs="仿宋" w:hint="eastAsia"/>
          <w:sz w:val="32"/>
          <w:szCs w:val="32"/>
        </w:rPr>
        <w:t>2022年排水专项项目是《株洲市2022年本级政府投资计划》中本级财政投入项目，总投资309.94万元。株董路（雅马哈减震器厂至株董路桥）项目于本年度11月底全面开工，12月份全部完工，市府路（人民南路至建设南路）排水项目需全封闭施工，因考虑到对市场群生意的影响，项目于2023年1月底进场施工，2月中旬全面完工。质量符合国家相关规范标准。</w:t>
      </w:r>
    </w:p>
    <w:p w:rsidR="002B3B04" w:rsidRPr="000D49BF" w:rsidRDefault="004D6B1C">
      <w:pPr>
        <w:tabs>
          <w:tab w:val="left" w:pos="7560"/>
        </w:tabs>
        <w:adjustRightInd w:val="0"/>
        <w:snapToGrid w:val="0"/>
        <w:spacing w:line="540" w:lineRule="exact"/>
        <w:ind w:firstLineChars="200" w:firstLine="640"/>
        <w:jc w:val="left"/>
        <w:rPr>
          <w:rFonts w:ascii="仿宋" w:eastAsia="仿宋" w:hAnsi="仿宋" w:cs="仿宋"/>
          <w:sz w:val="32"/>
          <w:szCs w:val="32"/>
        </w:rPr>
      </w:pPr>
      <w:r w:rsidRPr="000D49BF">
        <w:rPr>
          <w:rFonts w:ascii="仿宋" w:eastAsia="仿宋" w:hAnsi="仿宋" w:cs="仿宋" w:hint="eastAsia"/>
          <w:sz w:val="32"/>
          <w:szCs w:val="32"/>
        </w:rPr>
        <w:t>项目完成后，充分提高雨水排水能力，避免内涝问题发生，消除了内涝灾害对城市居民生产生活的影响，解决了该片区积水和污水漫溢问题，防止环境污染，提升城区环境质量，对生态环境起到重要的保护作用。</w:t>
      </w:r>
    </w:p>
    <w:p w:rsidR="002B3B04" w:rsidRPr="000D49BF" w:rsidRDefault="004D6B1C">
      <w:pPr>
        <w:spacing w:line="540" w:lineRule="exact"/>
        <w:ind w:firstLineChars="200" w:firstLine="640"/>
        <w:rPr>
          <w:rFonts w:ascii="仿宋" w:eastAsia="仿宋" w:hAnsi="仿宋"/>
          <w:sz w:val="32"/>
          <w:szCs w:val="32"/>
        </w:rPr>
      </w:pPr>
      <w:r w:rsidRPr="000D49BF">
        <w:rPr>
          <w:rFonts w:ascii="仿宋" w:eastAsia="仿宋" w:hAnsi="仿宋" w:hint="eastAsia"/>
          <w:sz w:val="32"/>
          <w:szCs w:val="32"/>
        </w:rPr>
        <w:t>（3）2022年桥梁专项维修</w:t>
      </w:r>
    </w:p>
    <w:p w:rsidR="002B3B04" w:rsidRPr="000D49BF" w:rsidRDefault="004D6B1C">
      <w:pPr>
        <w:spacing w:line="540" w:lineRule="exact"/>
        <w:ind w:firstLineChars="200" w:firstLine="640"/>
        <w:rPr>
          <w:rFonts w:ascii="仿宋" w:eastAsia="仿宋" w:hAnsi="仿宋"/>
          <w:sz w:val="32"/>
          <w:szCs w:val="32"/>
        </w:rPr>
      </w:pPr>
      <w:r w:rsidRPr="000D49BF">
        <w:rPr>
          <w:rFonts w:ascii="仿宋" w:eastAsia="仿宋" w:hAnsi="仿宋" w:hint="eastAsia"/>
          <w:sz w:val="32"/>
          <w:szCs w:val="32"/>
        </w:rPr>
        <w:t>2022年项目支出127.57万元，主要用于</w:t>
      </w:r>
      <w:r w:rsidRPr="000D49BF">
        <w:rPr>
          <w:rFonts w:ascii="仿宋" w:eastAsia="仿宋" w:hAnsi="仿宋" w:cs="仿宋" w:hint="eastAsia"/>
          <w:sz w:val="32"/>
          <w:szCs w:val="32"/>
        </w:rPr>
        <w:t>芦淞大桥、石峰大桥、坚固立交桥、株洲大桥等跨江桥梁维修。</w:t>
      </w:r>
      <w:r w:rsidRPr="000D49BF">
        <w:rPr>
          <w:rFonts w:ascii="仿宋_GB2312" w:eastAsia="仿宋_GB2312" w:hint="eastAsia"/>
          <w:sz w:val="32"/>
          <w:szCs w:val="32"/>
        </w:rPr>
        <w:t>项目实施及绩效情况：</w:t>
      </w:r>
    </w:p>
    <w:p w:rsidR="002B3B04" w:rsidRPr="000D49BF" w:rsidRDefault="004D6B1C">
      <w:pPr>
        <w:spacing w:line="540" w:lineRule="exact"/>
        <w:ind w:firstLineChars="200" w:firstLine="640"/>
        <w:rPr>
          <w:rFonts w:ascii="仿宋" w:eastAsia="仿宋" w:hAnsi="仿宋" w:cs="仿宋"/>
          <w:sz w:val="32"/>
          <w:szCs w:val="32"/>
        </w:rPr>
      </w:pPr>
      <w:r w:rsidRPr="000D49BF">
        <w:rPr>
          <w:rFonts w:ascii="仿宋" w:eastAsia="仿宋" w:hAnsi="仿宋" w:cs="仿宋" w:hint="eastAsia"/>
          <w:sz w:val="32"/>
          <w:szCs w:val="32"/>
        </w:rPr>
        <w:t>2022年桥梁中修项目是《株洲市2022年本级政府投资计划》中本级财政投入项目，总投资362.4万元。项目于本年度10月份全面开工，12月份全部完工，按时圆满完成了施工任务，质量符合国家相关规范标准。通过桥梁专项维修项目的实施，及时消除桥梁安全隐患，有效确保所辖城市桥梁的安全运行。</w:t>
      </w:r>
    </w:p>
    <w:p w:rsidR="002B3B04" w:rsidRPr="000D49BF" w:rsidRDefault="004D6B1C">
      <w:pPr>
        <w:spacing w:line="540" w:lineRule="exact"/>
        <w:ind w:firstLineChars="200" w:firstLine="640"/>
        <w:rPr>
          <w:rFonts w:ascii="仿宋" w:eastAsia="仿宋" w:hAnsi="仿宋"/>
          <w:sz w:val="32"/>
          <w:szCs w:val="32"/>
        </w:rPr>
      </w:pPr>
      <w:r w:rsidRPr="000D49BF">
        <w:rPr>
          <w:rFonts w:ascii="仿宋" w:eastAsia="仿宋" w:hAnsi="仿宋" w:hint="eastAsia"/>
          <w:sz w:val="32"/>
          <w:szCs w:val="32"/>
        </w:rPr>
        <w:t>（4）2022年城区基础设施创文整改专项</w:t>
      </w:r>
    </w:p>
    <w:p w:rsidR="002B3B04" w:rsidRPr="000D49BF" w:rsidRDefault="004D6B1C">
      <w:pPr>
        <w:spacing w:line="540" w:lineRule="exact"/>
        <w:ind w:firstLineChars="200" w:firstLine="640"/>
        <w:rPr>
          <w:rFonts w:ascii="仿宋_GB2312" w:eastAsia="仿宋_GB2312"/>
          <w:sz w:val="32"/>
          <w:szCs w:val="32"/>
        </w:rPr>
      </w:pPr>
      <w:r w:rsidRPr="000D49BF">
        <w:rPr>
          <w:rFonts w:ascii="仿宋" w:eastAsia="仿宋" w:hAnsi="仿宋" w:hint="eastAsia"/>
          <w:sz w:val="32"/>
          <w:szCs w:val="32"/>
        </w:rPr>
        <w:t>项目支出239.74万元，主要用于支持金沙桥、七一路人行天桥、曙光小学人行天桥、株洲大桥河东段、武广西站站前桥桥梁刷新；中心广场地下通道塑胶盲道板改不锈钢材质盲道板；车站路、人民南路、响石广场、红旗广场护柱更换；白石港西路砼道路改沥青砼罩面，部分处置基础；建设南路（星通路口长沙银行、天元大</w:t>
      </w:r>
      <w:r w:rsidRPr="000D49BF">
        <w:rPr>
          <w:rFonts w:ascii="仿宋" w:eastAsia="仿宋" w:hAnsi="仿宋" w:hint="eastAsia"/>
          <w:sz w:val="32"/>
          <w:szCs w:val="32"/>
        </w:rPr>
        <w:lastRenderedPageBreak/>
        <w:t>桥下）行道改造；迎宾大道与学林路交汇处路面改造；彩永路、建设北路、建设中路、建设南路、七一路、新华路、星通路、响田西路、红旗路对盲道不连续、盲道无障碍设施不规范进行整改。</w:t>
      </w:r>
      <w:r w:rsidRPr="000D49BF">
        <w:rPr>
          <w:rFonts w:ascii="仿宋_GB2312" w:eastAsia="仿宋_GB2312" w:hint="eastAsia"/>
          <w:sz w:val="32"/>
          <w:szCs w:val="32"/>
        </w:rPr>
        <w:t>项目实施及绩效情况：</w:t>
      </w:r>
    </w:p>
    <w:p w:rsidR="002B3B04" w:rsidRPr="000D49BF" w:rsidRDefault="004D6B1C">
      <w:pPr>
        <w:spacing w:line="540" w:lineRule="exact"/>
        <w:ind w:firstLineChars="200" w:firstLine="640"/>
        <w:rPr>
          <w:rFonts w:ascii="仿宋" w:eastAsia="仿宋" w:hAnsi="仿宋"/>
          <w:sz w:val="32"/>
          <w:szCs w:val="32"/>
        </w:rPr>
      </w:pPr>
      <w:r w:rsidRPr="000D49BF">
        <w:rPr>
          <w:rFonts w:ascii="仿宋" w:eastAsia="仿宋" w:hAnsi="仿宋" w:hint="eastAsia"/>
          <w:sz w:val="32"/>
          <w:szCs w:val="32"/>
        </w:rPr>
        <w:t>本项目于2022年6月份全面开工，7月份全部完工，按时圆满完成了施工任务，质量符合国家相关规范标准。该项目完工后，大大改善了改造后路段</w:t>
      </w:r>
      <w:r w:rsidR="00250B2F" w:rsidRPr="000D49BF">
        <w:rPr>
          <w:rFonts w:ascii="仿宋" w:eastAsia="仿宋" w:hAnsi="仿宋" w:hint="eastAsia"/>
          <w:sz w:val="32"/>
          <w:szCs w:val="32"/>
        </w:rPr>
        <w:t>状况及</w:t>
      </w:r>
      <w:r w:rsidRPr="000D49BF">
        <w:rPr>
          <w:rFonts w:ascii="仿宋" w:eastAsia="仿宋" w:hAnsi="仿宋" w:hint="eastAsia"/>
          <w:sz w:val="32"/>
          <w:szCs w:val="32"/>
        </w:rPr>
        <w:t>市容市貌，及时消除桥梁安全隐患，有效确保所辖城市桥梁的安全运行。</w:t>
      </w:r>
    </w:p>
    <w:p w:rsidR="002B3B04" w:rsidRPr="000D49BF" w:rsidRDefault="004D6B1C">
      <w:pPr>
        <w:tabs>
          <w:tab w:val="left" w:pos="7560"/>
        </w:tabs>
        <w:adjustRightInd w:val="0"/>
        <w:snapToGrid w:val="0"/>
        <w:spacing w:line="540" w:lineRule="exact"/>
        <w:ind w:left="480"/>
        <w:jc w:val="left"/>
        <w:rPr>
          <w:rFonts w:ascii="仿宋" w:eastAsia="仿宋" w:hAnsi="仿宋"/>
          <w:sz w:val="32"/>
          <w:szCs w:val="32"/>
        </w:rPr>
      </w:pPr>
      <w:r w:rsidRPr="000D49BF">
        <w:rPr>
          <w:rFonts w:ascii="仿宋" w:eastAsia="仿宋" w:hAnsi="仿宋" w:hint="eastAsia"/>
          <w:sz w:val="32"/>
          <w:szCs w:val="32"/>
        </w:rPr>
        <w:t>（5）支付历年工程欠款。</w:t>
      </w:r>
    </w:p>
    <w:p w:rsidR="002B3B04" w:rsidRPr="000D49BF" w:rsidRDefault="004D6B1C">
      <w:pPr>
        <w:tabs>
          <w:tab w:val="left" w:pos="7560"/>
        </w:tabs>
        <w:adjustRightInd w:val="0"/>
        <w:snapToGrid w:val="0"/>
        <w:spacing w:line="540" w:lineRule="exact"/>
        <w:ind w:firstLineChars="200" w:firstLine="640"/>
        <w:jc w:val="left"/>
        <w:rPr>
          <w:rFonts w:ascii="仿宋" w:eastAsia="仿宋" w:hAnsi="仿宋"/>
          <w:sz w:val="32"/>
          <w:szCs w:val="32"/>
        </w:rPr>
      </w:pPr>
      <w:r w:rsidRPr="000D49BF">
        <w:rPr>
          <w:rFonts w:ascii="仿宋" w:eastAsia="仿宋" w:hAnsi="仿宋" w:hint="eastAsia"/>
          <w:sz w:val="32"/>
          <w:szCs w:val="32"/>
        </w:rPr>
        <w:t>以前年度中修专项2022年实际支出1421.57万元，主要用于支付201</w:t>
      </w:r>
      <w:r w:rsidR="00250B2F" w:rsidRPr="000D49BF">
        <w:rPr>
          <w:rFonts w:ascii="仿宋" w:eastAsia="仿宋" w:hAnsi="仿宋" w:hint="eastAsia"/>
          <w:sz w:val="32"/>
          <w:szCs w:val="32"/>
        </w:rPr>
        <w:t>6</w:t>
      </w:r>
      <w:r w:rsidRPr="000D49BF">
        <w:rPr>
          <w:rFonts w:ascii="仿宋" w:eastAsia="仿宋" w:hAnsi="仿宋" w:hint="eastAsia"/>
          <w:sz w:val="32"/>
          <w:szCs w:val="32"/>
        </w:rPr>
        <w:t>-2021年历年中修专项欠款。</w:t>
      </w:r>
    </w:p>
    <w:p w:rsidR="002B3B04" w:rsidRPr="000D49BF" w:rsidRDefault="004D6B1C">
      <w:pPr>
        <w:pStyle w:val="a8"/>
        <w:widowControl/>
        <w:spacing w:line="560" w:lineRule="exact"/>
        <w:ind w:firstLine="640"/>
        <w:jc w:val="left"/>
        <w:rPr>
          <w:rFonts w:ascii="Times New Roman" w:eastAsia="黑体" w:hAnsi="Times New Roman"/>
          <w:sz w:val="32"/>
          <w:szCs w:val="32"/>
        </w:rPr>
      </w:pPr>
      <w:r w:rsidRPr="000D49BF">
        <w:rPr>
          <w:rFonts w:ascii="Times New Roman" w:eastAsia="黑体" w:hAnsi="Times New Roman"/>
          <w:sz w:val="32"/>
          <w:szCs w:val="32"/>
        </w:rPr>
        <w:t>七、存在的问题及原因分析</w:t>
      </w:r>
    </w:p>
    <w:p w:rsidR="005B0C11" w:rsidRPr="005B0C11" w:rsidRDefault="005B0C11" w:rsidP="005B0C11">
      <w:pPr>
        <w:spacing w:line="540" w:lineRule="exact"/>
        <w:ind w:firstLineChars="200" w:firstLine="640"/>
        <w:rPr>
          <w:rFonts w:ascii="仿宋" w:eastAsia="仿宋" w:hAnsi="仿宋"/>
          <w:color w:val="000000"/>
          <w:sz w:val="32"/>
          <w:szCs w:val="32"/>
          <w:shd w:val="clear" w:color="auto" w:fill="FFFFFF"/>
        </w:rPr>
      </w:pPr>
      <w:r w:rsidRPr="005B0C11">
        <w:rPr>
          <w:rFonts w:ascii="仿宋" w:eastAsia="仿宋" w:hAnsi="仿宋" w:hint="eastAsia"/>
          <w:color w:val="000000"/>
          <w:sz w:val="32"/>
          <w:szCs w:val="32"/>
          <w:shd w:val="clear" w:color="auto" w:fill="FFFFFF"/>
        </w:rPr>
        <w:t>对预算绩效管理的重要性认识还不足。加强预算绩效管理理念虽然已是普遍共识，但对该项工作重要性的认识程度还有差异，存在着各部门对待绩效管理工作态度冷热不均的现象。业务部门对开展绩效评价无积极性，财务部门对绩效评价结果运用无从下手。绩效评价成为相关部门的附加工作，工作认可度低，工作价值无法体现，实施效果不佳。</w:t>
      </w:r>
    </w:p>
    <w:p w:rsidR="002B3B04" w:rsidRDefault="004D6B1C" w:rsidP="005B0C11">
      <w:pPr>
        <w:spacing w:line="540" w:lineRule="exact"/>
        <w:ind w:firstLineChars="200" w:firstLine="640"/>
        <w:rPr>
          <w:rFonts w:ascii="宋体" w:hAnsi="宋体"/>
          <w:bCs/>
          <w:sz w:val="30"/>
          <w:szCs w:val="30"/>
        </w:rPr>
      </w:pPr>
      <w:r>
        <w:rPr>
          <w:rFonts w:eastAsia="黑体"/>
          <w:sz w:val="32"/>
          <w:szCs w:val="32"/>
        </w:rPr>
        <w:t>八、下一步改进措施</w:t>
      </w:r>
    </w:p>
    <w:p w:rsidR="002B3B04" w:rsidRDefault="004D6B1C" w:rsidP="00624F3D">
      <w:pPr>
        <w:spacing w:line="540" w:lineRule="exact"/>
        <w:ind w:firstLineChars="200" w:firstLine="640"/>
        <w:rPr>
          <w:rFonts w:ascii="仿宋_GB2312" w:eastAsia="仿宋_GB2312"/>
          <w:sz w:val="32"/>
          <w:szCs w:val="32"/>
        </w:rPr>
      </w:pPr>
      <w:r>
        <w:rPr>
          <w:rFonts w:ascii="仿宋" w:eastAsia="仿宋" w:hAnsi="仿宋" w:hint="eastAsia"/>
          <w:bCs/>
          <w:sz w:val="32"/>
          <w:szCs w:val="32"/>
        </w:rPr>
        <w:t>建</w:t>
      </w:r>
      <w:r w:rsidRPr="00624F3D">
        <w:rPr>
          <w:rFonts w:ascii="仿宋" w:eastAsia="仿宋" w:hAnsi="仿宋" w:hint="eastAsia"/>
          <w:bCs/>
          <w:sz w:val="32"/>
          <w:szCs w:val="32"/>
        </w:rPr>
        <w:t>议</w:t>
      </w:r>
      <w:r w:rsidR="005B0C11" w:rsidRPr="00624F3D">
        <w:rPr>
          <w:rFonts w:ascii="仿宋" w:eastAsia="仿宋" w:hAnsi="仿宋" w:hint="eastAsia"/>
          <w:sz w:val="32"/>
          <w:szCs w:val="32"/>
          <w:shd w:val="clear" w:color="auto" w:fill="FFFFFF"/>
        </w:rPr>
        <w:t>绩效主管部门加大</w:t>
      </w:r>
      <w:r>
        <w:rPr>
          <w:rFonts w:ascii="仿宋" w:eastAsia="仿宋" w:hAnsi="仿宋" w:hint="eastAsia"/>
          <w:color w:val="000000"/>
          <w:sz w:val="32"/>
          <w:szCs w:val="32"/>
          <w:shd w:val="clear" w:color="auto" w:fill="FFFFFF"/>
        </w:rPr>
        <w:t>绩效管理</w:t>
      </w:r>
      <w:r w:rsidR="005B0C11">
        <w:rPr>
          <w:rFonts w:ascii="仿宋" w:eastAsia="仿宋" w:hAnsi="仿宋" w:hint="eastAsia"/>
          <w:color w:val="000000"/>
          <w:sz w:val="32"/>
          <w:szCs w:val="32"/>
          <w:shd w:val="clear" w:color="auto" w:fill="FFFFFF"/>
        </w:rPr>
        <w:t>的</w:t>
      </w:r>
      <w:r>
        <w:rPr>
          <w:rFonts w:ascii="仿宋" w:eastAsia="仿宋" w:hAnsi="仿宋" w:hint="eastAsia"/>
          <w:color w:val="000000"/>
          <w:sz w:val="32"/>
          <w:szCs w:val="32"/>
          <w:shd w:val="clear" w:color="auto" w:fill="FFFFFF"/>
        </w:rPr>
        <w:t>宣传培训力度，</w:t>
      </w:r>
      <w:r w:rsidR="00624F3D" w:rsidRPr="00624F3D">
        <w:rPr>
          <w:rFonts w:ascii="仿宋" w:eastAsia="仿宋" w:hAnsi="仿宋" w:hint="eastAsia"/>
          <w:color w:val="000000"/>
          <w:sz w:val="32"/>
          <w:szCs w:val="32"/>
          <w:shd w:val="clear" w:color="auto" w:fill="FFFFFF"/>
        </w:rPr>
        <w:t>结合国家治理体系和治理能力现代化的建设要求，突出宣传预算绩效管理在促进</w:t>
      </w:r>
      <w:r w:rsidR="00E46F06">
        <w:rPr>
          <w:rFonts w:ascii="仿宋" w:eastAsia="仿宋" w:hAnsi="仿宋" w:hint="eastAsia"/>
          <w:color w:val="000000"/>
          <w:sz w:val="32"/>
          <w:szCs w:val="32"/>
          <w:shd w:val="clear" w:color="auto" w:fill="FFFFFF"/>
        </w:rPr>
        <w:t>提高公共服务供给效率方面的重要作用，形成强化绩效管理的氛围。强化</w:t>
      </w:r>
      <w:r w:rsidR="00624F3D" w:rsidRPr="00624F3D">
        <w:rPr>
          <w:rFonts w:ascii="仿宋" w:eastAsia="仿宋" w:hAnsi="仿宋" w:hint="eastAsia"/>
          <w:color w:val="000000"/>
          <w:sz w:val="32"/>
          <w:szCs w:val="32"/>
          <w:shd w:val="clear" w:color="auto" w:fill="FFFFFF"/>
        </w:rPr>
        <w:t>绩效管理</w:t>
      </w:r>
      <w:r w:rsidR="00E46F06">
        <w:rPr>
          <w:rFonts w:ascii="仿宋" w:eastAsia="仿宋" w:hAnsi="仿宋" w:hint="eastAsia"/>
          <w:color w:val="000000"/>
          <w:sz w:val="32"/>
          <w:szCs w:val="32"/>
          <w:shd w:val="clear" w:color="auto" w:fill="FFFFFF"/>
        </w:rPr>
        <w:t>的</w:t>
      </w:r>
      <w:r w:rsidR="00624F3D" w:rsidRPr="00624F3D">
        <w:rPr>
          <w:rFonts w:ascii="仿宋" w:eastAsia="仿宋" w:hAnsi="仿宋" w:hint="eastAsia"/>
          <w:color w:val="000000"/>
          <w:sz w:val="32"/>
          <w:szCs w:val="32"/>
          <w:shd w:val="clear" w:color="auto" w:fill="FFFFFF"/>
        </w:rPr>
        <w:t>意识，调整管理机制，把预算绩效管理作为基础性工作认真对待；加强各层级人员绩效管理培训，营造绩效管理的良好氛围。</w:t>
      </w:r>
    </w:p>
    <w:p w:rsidR="002B3B04" w:rsidRDefault="002B3B04">
      <w:pPr>
        <w:widowControl/>
        <w:spacing w:line="560" w:lineRule="exact"/>
        <w:jc w:val="left"/>
        <w:rPr>
          <w:rFonts w:ascii="仿宋_GB2312" w:eastAsia="仿宋_GB2312"/>
          <w:sz w:val="32"/>
          <w:szCs w:val="32"/>
        </w:rPr>
      </w:pPr>
    </w:p>
    <w:p w:rsidR="002B3B04" w:rsidRDefault="004D6B1C" w:rsidP="003A0E38">
      <w:pPr>
        <w:widowControl/>
        <w:spacing w:line="560" w:lineRule="exact"/>
        <w:ind w:firstLineChars="250" w:firstLine="800"/>
        <w:jc w:val="left"/>
        <w:rPr>
          <w:rFonts w:ascii="仿宋_GB2312" w:eastAsia="仿宋_GB2312"/>
          <w:sz w:val="32"/>
          <w:szCs w:val="32"/>
        </w:rPr>
      </w:pPr>
      <w:r>
        <w:rPr>
          <w:rFonts w:ascii="仿宋_GB2312" w:eastAsia="仿宋_GB2312" w:hint="eastAsia"/>
          <w:sz w:val="32"/>
          <w:szCs w:val="32"/>
        </w:rPr>
        <w:lastRenderedPageBreak/>
        <w:t>附件：2022年度部门整体支出绩效自评表</w:t>
      </w:r>
    </w:p>
    <w:p w:rsidR="002B3B04" w:rsidRDefault="002B3B04">
      <w:pPr>
        <w:widowControl/>
        <w:jc w:val="left"/>
        <w:rPr>
          <w:rFonts w:asciiTheme="minorEastAsia" w:eastAsiaTheme="minorEastAsia" w:hAnsiTheme="minorEastAsia"/>
          <w:color w:val="000000"/>
          <w:kern w:val="0"/>
          <w:sz w:val="18"/>
          <w:szCs w:val="18"/>
        </w:rPr>
      </w:pPr>
    </w:p>
    <w:p w:rsidR="002B3B04" w:rsidRDefault="002B3B04">
      <w:pPr>
        <w:widowControl/>
        <w:jc w:val="left"/>
        <w:rPr>
          <w:rFonts w:asciiTheme="minorEastAsia" w:eastAsiaTheme="minorEastAsia" w:hAnsiTheme="minorEastAsia"/>
          <w:color w:val="000000"/>
          <w:kern w:val="0"/>
          <w:sz w:val="18"/>
          <w:szCs w:val="18"/>
        </w:rPr>
      </w:pPr>
    </w:p>
    <w:p w:rsidR="002B3B04" w:rsidRDefault="002B3B04">
      <w:pPr>
        <w:widowControl/>
        <w:jc w:val="left"/>
        <w:rPr>
          <w:rFonts w:asciiTheme="minorEastAsia" w:eastAsiaTheme="minorEastAsia" w:hAnsiTheme="minorEastAsia"/>
          <w:color w:val="000000"/>
          <w:kern w:val="0"/>
          <w:sz w:val="18"/>
          <w:szCs w:val="18"/>
        </w:rPr>
      </w:pPr>
    </w:p>
    <w:p w:rsidR="002B3B04" w:rsidRDefault="002B3B04">
      <w:pPr>
        <w:widowControl/>
        <w:jc w:val="left"/>
        <w:rPr>
          <w:rFonts w:asciiTheme="minorEastAsia" w:eastAsiaTheme="minorEastAsia" w:hAnsiTheme="minorEastAsia"/>
          <w:color w:val="000000"/>
          <w:kern w:val="0"/>
          <w:sz w:val="18"/>
          <w:szCs w:val="18"/>
        </w:rPr>
      </w:pPr>
    </w:p>
    <w:p w:rsidR="002B3B04" w:rsidRDefault="002B3B04">
      <w:pPr>
        <w:widowControl/>
        <w:jc w:val="left"/>
        <w:rPr>
          <w:rFonts w:asciiTheme="minorEastAsia" w:eastAsiaTheme="minorEastAsia" w:hAnsiTheme="minorEastAsia"/>
          <w:color w:val="000000"/>
          <w:kern w:val="0"/>
          <w:sz w:val="18"/>
          <w:szCs w:val="18"/>
        </w:rPr>
      </w:pPr>
    </w:p>
    <w:p w:rsidR="002B3B04" w:rsidRDefault="002B3B04">
      <w:pPr>
        <w:widowControl/>
        <w:jc w:val="left"/>
        <w:rPr>
          <w:rFonts w:asciiTheme="minorEastAsia" w:eastAsiaTheme="minorEastAsia" w:hAnsiTheme="minorEastAsia"/>
          <w:color w:val="000000"/>
          <w:kern w:val="0"/>
          <w:sz w:val="18"/>
          <w:szCs w:val="18"/>
        </w:rPr>
      </w:pPr>
    </w:p>
    <w:p w:rsidR="002B3B04" w:rsidRDefault="002B3B04">
      <w:pPr>
        <w:widowControl/>
        <w:jc w:val="left"/>
        <w:rPr>
          <w:rFonts w:asciiTheme="minorEastAsia" w:eastAsiaTheme="minorEastAsia" w:hAnsiTheme="minorEastAsia"/>
          <w:color w:val="000000"/>
          <w:kern w:val="0"/>
          <w:sz w:val="18"/>
          <w:szCs w:val="18"/>
        </w:rPr>
      </w:pPr>
    </w:p>
    <w:p w:rsidR="002B3B04" w:rsidRDefault="002B3B04">
      <w:pPr>
        <w:widowControl/>
        <w:jc w:val="left"/>
        <w:rPr>
          <w:rFonts w:asciiTheme="minorEastAsia" w:eastAsiaTheme="minorEastAsia" w:hAnsiTheme="minorEastAsia"/>
          <w:color w:val="000000"/>
          <w:kern w:val="0"/>
          <w:sz w:val="18"/>
          <w:szCs w:val="18"/>
        </w:rPr>
      </w:pPr>
    </w:p>
    <w:p w:rsidR="002B3B04" w:rsidRDefault="002B3B04">
      <w:pPr>
        <w:widowControl/>
        <w:jc w:val="left"/>
        <w:rPr>
          <w:rFonts w:asciiTheme="minorEastAsia" w:eastAsiaTheme="minorEastAsia" w:hAnsiTheme="minorEastAsia"/>
          <w:color w:val="000000"/>
          <w:kern w:val="0"/>
          <w:sz w:val="18"/>
          <w:szCs w:val="18"/>
        </w:rPr>
      </w:pPr>
    </w:p>
    <w:p w:rsidR="002B3B04" w:rsidRDefault="002B3B04">
      <w:pPr>
        <w:widowControl/>
        <w:jc w:val="left"/>
        <w:rPr>
          <w:rFonts w:asciiTheme="minorEastAsia" w:eastAsiaTheme="minorEastAsia" w:hAnsiTheme="minorEastAsia"/>
          <w:color w:val="000000"/>
          <w:kern w:val="0"/>
          <w:sz w:val="18"/>
          <w:szCs w:val="18"/>
        </w:rPr>
      </w:pPr>
    </w:p>
    <w:p w:rsidR="002B3B04" w:rsidRDefault="002B3B04">
      <w:pPr>
        <w:widowControl/>
        <w:jc w:val="left"/>
        <w:rPr>
          <w:rFonts w:asciiTheme="minorEastAsia" w:eastAsiaTheme="minorEastAsia" w:hAnsiTheme="minorEastAsia"/>
          <w:color w:val="000000"/>
          <w:kern w:val="0"/>
          <w:sz w:val="18"/>
          <w:szCs w:val="18"/>
        </w:rPr>
      </w:pPr>
    </w:p>
    <w:p w:rsidR="002B3B04" w:rsidRDefault="002B3B04">
      <w:pPr>
        <w:widowControl/>
        <w:jc w:val="left"/>
        <w:rPr>
          <w:rFonts w:asciiTheme="minorEastAsia" w:eastAsiaTheme="minorEastAsia" w:hAnsiTheme="minorEastAsia"/>
          <w:color w:val="000000"/>
          <w:kern w:val="0"/>
          <w:sz w:val="18"/>
          <w:szCs w:val="18"/>
        </w:rPr>
      </w:pPr>
    </w:p>
    <w:p w:rsidR="002B3B04" w:rsidRDefault="002B3B04">
      <w:pPr>
        <w:widowControl/>
        <w:jc w:val="left"/>
        <w:rPr>
          <w:rFonts w:asciiTheme="minorEastAsia" w:eastAsiaTheme="minorEastAsia" w:hAnsiTheme="minorEastAsia"/>
          <w:color w:val="000000"/>
          <w:kern w:val="0"/>
          <w:sz w:val="18"/>
          <w:szCs w:val="18"/>
        </w:rPr>
      </w:pPr>
    </w:p>
    <w:p w:rsidR="002B3B04" w:rsidRDefault="002B3B04">
      <w:pPr>
        <w:widowControl/>
        <w:jc w:val="left"/>
        <w:rPr>
          <w:rFonts w:asciiTheme="minorEastAsia" w:eastAsiaTheme="minorEastAsia" w:hAnsiTheme="minorEastAsia"/>
          <w:color w:val="000000"/>
          <w:kern w:val="0"/>
          <w:sz w:val="18"/>
          <w:szCs w:val="18"/>
        </w:rPr>
      </w:pPr>
    </w:p>
    <w:p w:rsidR="002B3B04" w:rsidRDefault="002B3B04">
      <w:pPr>
        <w:widowControl/>
        <w:jc w:val="left"/>
        <w:rPr>
          <w:rFonts w:asciiTheme="minorEastAsia" w:eastAsiaTheme="minorEastAsia" w:hAnsiTheme="minorEastAsia"/>
          <w:color w:val="000000"/>
          <w:kern w:val="0"/>
          <w:sz w:val="18"/>
          <w:szCs w:val="18"/>
        </w:rPr>
      </w:pPr>
    </w:p>
    <w:p w:rsidR="002B3B04" w:rsidRDefault="002B3B04">
      <w:pPr>
        <w:widowControl/>
        <w:jc w:val="left"/>
        <w:rPr>
          <w:rFonts w:asciiTheme="minorEastAsia" w:eastAsiaTheme="minorEastAsia" w:hAnsiTheme="minorEastAsia"/>
          <w:color w:val="000000"/>
          <w:kern w:val="0"/>
          <w:sz w:val="18"/>
          <w:szCs w:val="18"/>
        </w:rPr>
      </w:pPr>
    </w:p>
    <w:p w:rsidR="002B3B04" w:rsidRDefault="002B3B04">
      <w:pPr>
        <w:widowControl/>
        <w:jc w:val="left"/>
        <w:rPr>
          <w:rFonts w:asciiTheme="minorEastAsia" w:eastAsiaTheme="minorEastAsia" w:hAnsiTheme="minorEastAsia"/>
          <w:color w:val="000000"/>
          <w:kern w:val="0"/>
          <w:sz w:val="18"/>
          <w:szCs w:val="18"/>
        </w:rPr>
      </w:pPr>
    </w:p>
    <w:p w:rsidR="002B3B04" w:rsidRDefault="002B3B04">
      <w:pPr>
        <w:widowControl/>
        <w:jc w:val="left"/>
        <w:rPr>
          <w:rFonts w:asciiTheme="minorEastAsia" w:eastAsiaTheme="minorEastAsia" w:hAnsiTheme="minorEastAsia"/>
          <w:color w:val="000000"/>
          <w:kern w:val="0"/>
          <w:sz w:val="18"/>
          <w:szCs w:val="18"/>
        </w:rPr>
      </w:pPr>
    </w:p>
    <w:p w:rsidR="002B3B04" w:rsidRDefault="002B3B04">
      <w:pPr>
        <w:widowControl/>
        <w:jc w:val="left"/>
        <w:rPr>
          <w:rFonts w:asciiTheme="minorEastAsia" w:eastAsiaTheme="minorEastAsia" w:hAnsiTheme="minorEastAsia"/>
          <w:color w:val="000000"/>
          <w:kern w:val="0"/>
          <w:sz w:val="18"/>
          <w:szCs w:val="18"/>
        </w:rPr>
      </w:pPr>
    </w:p>
    <w:p w:rsidR="002B3B04" w:rsidRDefault="002B3B04">
      <w:pPr>
        <w:widowControl/>
        <w:ind w:firstLineChars="200" w:firstLine="420"/>
        <w:jc w:val="left"/>
        <w:rPr>
          <w:rFonts w:asciiTheme="minorEastAsia" w:eastAsiaTheme="minorEastAsia" w:hAnsiTheme="minorEastAsia"/>
          <w:szCs w:val="21"/>
        </w:rPr>
      </w:pPr>
    </w:p>
    <w:p w:rsidR="002B3B04" w:rsidRDefault="002B3B04">
      <w:pPr>
        <w:widowControl/>
        <w:ind w:firstLineChars="200" w:firstLine="420"/>
        <w:jc w:val="left"/>
        <w:rPr>
          <w:rFonts w:asciiTheme="minorEastAsia" w:eastAsiaTheme="minorEastAsia" w:hAnsiTheme="minorEastAsia"/>
          <w:szCs w:val="21"/>
        </w:rPr>
      </w:pPr>
    </w:p>
    <w:p w:rsidR="002B3B04" w:rsidRDefault="002B3B04">
      <w:pPr>
        <w:widowControl/>
        <w:ind w:firstLineChars="200" w:firstLine="420"/>
        <w:jc w:val="left"/>
        <w:rPr>
          <w:rFonts w:asciiTheme="minorEastAsia" w:eastAsiaTheme="minorEastAsia" w:hAnsiTheme="minorEastAsia"/>
          <w:szCs w:val="21"/>
        </w:rPr>
      </w:pPr>
    </w:p>
    <w:p w:rsidR="002B3B04" w:rsidRDefault="002B3B04">
      <w:pPr>
        <w:widowControl/>
        <w:ind w:firstLineChars="200" w:firstLine="420"/>
        <w:jc w:val="left"/>
        <w:rPr>
          <w:rFonts w:asciiTheme="minorEastAsia" w:eastAsiaTheme="minorEastAsia" w:hAnsiTheme="minorEastAsia"/>
          <w:szCs w:val="21"/>
        </w:rPr>
      </w:pPr>
    </w:p>
    <w:p w:rsidR="002B3B04" w:rsidRDefault="002B3B04">
      <w:pPr>
        <w:widowControl/>
        <w:ind w:firstLineChars="200" w:firstLine="420"/>
        <w:jc w:val="left"/>
        <w:rPr>
          <w:rFonts w:asciiTheme="minorEastAsia" w:eastAsiaTheme="minorEastAsia" w:hAnsiTheme="minorEastAsia"/>
          <w:szCs w:val="21"/>
        </w:rPr>
      </w:pPr>
    </w:p>
    <w:p w:rsidR="002B3B04" w:rsidRDefault="002B3B04">
      <w:pPr>
        <w:widowControl/>
        <w:ind w:firstLineChars="200" w:firstLine="420"/>
        <w:jc w:val="left"/>
        <w:rPr>
          <w:rFonts w:asciiTheme="minorEastAsia" w:eastAsiaTheme="minorEastAsia" w:hAnsiTheme="minorEastAsia"/>
          <w:szCs w:val="21"/>
        </w:rPr>
      </w:pPr>
    </w:p>
    <w:p w:rsidR="002B3B04" w:rsidRDefault="002B3B04">
      <w:pPr>
        <w:widowControl/>
        <w:ind w:firstLineChars="200" w:firstLine="420"/>
        <w:jc w:val="left"/>
        <w:rPr>
          <w:rFonts w:asciiTheme="minorEastAsia" w:eastAsiaTheme="minorEastAsia" w:hAnsiTheme="minorEastAsia"/>
          <w:szCs w:val="21"/>
        </w:rPr>
      </w:pPr>
    </w:p>
    <w:p w:rsidR="002B3B04" w:rsidRDefault="002B3B04">
      <w:pPr>
        <w:widowControl/>
        <w:ind w:firstLineChars="200" w:firstLine="420"/>
        <w:jc w:val="left"/>
        <w:rPr>
          <w:rFonts w:asciiTheme="minorEastAsia" w:eastAsiaTheme="minorEastAsia" w:hAnsiTheme="minorEastAsia"/>
          <w:szCs w:val="21"/>
        </w:rPr>
      </w:pPr>
    </w:p>
    <w:p w:rsidR="002B3B04" w:rsidRDefault="002B3B04">
      <w:pPr>
        <w:widowControl/>
        <w:ind w:firstLineChars="200" w:firstLine="420"/>
        <w:jc w:val="left"/>
        <w:rPr>
          <w:rFonts w:asciiTheme="minorEastAsia" w:eastAsiaTheme="minorEastAsia" w:hAnsiTheme="minorEastAsia"/>
          <w:szCs w:val="21"/>
        </w:rPr>
      </w:pPr>
    </w:p>
    <w:p w:rsidR="002B3B04" w:rsidRDefault="002B3B04">
      <w:pPr>
        <w:widowControl/>
        <w:ind w:firstLineChars="200" w:firstLine="420"/>
        <w:jc w:val="left"/>
        <w:rPr>
          <w:rFonts w:asciiTheme="minorEastAsia" w:eastAsiaTheme="minorEastAsia" w:hAnsiTheme="minorEastAsia"/>
          <w:szCs w:val="21"/>
        </w:rPr>
      </w:pPr>
    </w:p>
    <w:p w:rsidR="002B3B04" w:rsidRDefault="002B3B04">
      <w:pPr>
        <w:widowControl/>
        <w:ind w:firstLineChars="200" w:firstLine="420"/>
        <w:jc w:val="left"/>
        <w:rPr>
          <w:rFonts w:asciiTheme="minorEastAsia" w:eastAsiaTheme="minorEastAsia" w:hAnsiTheme="minorEastAsia"/>
          <w:szCs w:val="21"/>
        </w:rPr>
      </w:pPr>
    </w:p>
    <w:p w:rsidR="002B3B04" w:rsidRDefault="002B3B04">
      <w:pPr>
        <w:widowControl/>
        <w:ind w:firstLineChars="200" w:firstLine="420"/>
        <w:jc w:val="left"/>
        <w:rPr>
          <w:rFonts w:asciiTheme="minorEastAsia" w:eastAsiaTheme="minorEastAsia" w:hAnsiTheme="minorEastAsia"/>
          <w:szCs w:val="21"/>
        </w:rPr>
      </w:pPr>
    </w:p>
    <w:p w:rsidR="002B3B04" w:rsidRDefault="002B3B04">
      <w:pPr>
        <w:widowControl/>
        <w:ind w:firstLineChars="200" w:firstLine="420"/>
        <w:jc w:val="left"/>
        <w:rPr>
          <w:rFonts w:asciiTheme="minorEastAsia" w:eastAsiaTheme="minorEastAsia" w:hAnsiTheme="minorEastAsia"/>
          <w:szCs w:val="21"/>
        </w:rPr>
      </w:pPr>
    </w:p>
    <w:p w:rsidR="002B3B04" w:rsidRDefault="002B3B04">
      <w:pPr>
        <w:widowControl/>
        <w:ind w:firstLineChars="200" w:firstLine="420"/>
        <w:jc w:val="left"/>
        <w:rPr>
          <w:rFonts w:asciiTheme="minorEastAsia" w:eastAsiaTheme="minorEastAsia" w:hAnsiTheme="minorEastAsia"/>
          <w:szCs w:val="21"/>
        </w:rPr>
      </w:pPr>
    </w:p>
    <w:p w:rsidR="002B3B04" w:rsidRDefault="002B3B04">
      <w:pPr>
        <w:widowControl/>
        <w:ind w:firstLineChars="200" w:firstLine="420"/>
        <w:jc w:val="left"/>
        <w:rPr>
          <w:rFonts w:asciiTheme="minorEastAsia" w:eastAsiaTheme="minorEastAsia" w:hAnsiTheme="minorEastAsia"/>
          <w:szCs w:val="21"/>
        </w:rPr>
      </w:pPr>
    </w:p>
    <w:p w:rsidR="002B3B04" w:rsidRDefault="002B3B04">
      <w:pPr>
        <w:widowControl/>
        <w:ind w:firstLineChars="200" w:firstLine="420"/>
        <w:jc w:val="left"/>
        <w:rPr>
          <w:rFonts w:asciiTheme="minorEastAsia" w:eastAsiaTheme="minorEastAsia" w:hAnsiTheme="minorEastAsia"/>
          <w:szCs w:val="21"/>
        </w:rPr>
      </w:pPr>
    </w:p>
    <w:p w:rsidR="002B3B04" w:rsidRDefault="002B3B04">
      <w:pPr>
        <w:widowControl/>
        <w:ind w:firstLineChars="200" w:firstLine="420"/>
        <w:jc w:val="left"/>
        <w:rPr>
          <w:rFonts w:asciiTheme="minorEastAsia" w:eastAsiaTheme="minorEastAsia" w:hAnsiTheme="minorEastAsia"/>
          <w:szCs w:val="21"/>
        </w:rPr>
      </w:pPr>
    </w:p>
    <w:p w:rsidR="002B3B04" w:rsidRDefault="002B3B04">
      <w:pPr>
        <w:widowControl/>
        <w:ind w:firstLineChars="200" w:firstLine="420"/>
        <w:jc w:val="left"/>
        <w:rPr>
          <w:rFonts w:asciiTheme="minorEastAsia" w:eastAsiaTheme="minorEastAsia" w:hAnsiTheme="minorEastAsia"/>
          <w:szCs w:val="21"/>
        </w:rPr>
      </w:pPr>
    </w:p>
    <w:p w:rsidR="002B3B04" w:rsidRDefault="002B3B04">
      <w:pPr>
        <w:widowControl/>
        <w:ind w:firstLineChars="200" w:firstLine="420"/>
        <w:jc w:val="left"/>
        <w:rPr>
          <w:rFonts w:asciiTheme="minorEastAsia" w:eastAsiaTheme="minorEastAsia" w:hAnsiTheme="minorEastAsia"/>
          <w:szCs w:val="21"/>
        </w:rPr>
      </w:pPr>
    </w:p>
    <w:p w:rsidR="002B3B04" w:rsidRDefault="002B3B04">
      <w:pPr>
        <w:widowControl/>
        <w:ind w:firstLineChars="200" w:firstLine="420"/>
        <w:jc w:val="left"/>
        <w:rPr>
          <w:rFonts w:asciiTheme="minorEastAsia" w:eastAsiaTheme="minorEastAsia" w:hAnsiTheme="minorEastAsia"/>
          <w:szCs w:val="21"/>
        </w:rPr>
      </w:pPr>
    </w:p>
    <w:p w:rsidR="002B3B04" w:rsidRDefault="002B3B04">
      <w:pPr>
        <w:widowControl/>
        <w:ind w:firstLineChars="200" w:firstLine="420"/>
        <w:jc w:val="left"/>
        <w:rPr>
          <w:rFonts w:asciiTheme="minorEastAsia" w:eastAsiaTheme="minorEastAsia" w:hAnsiTheme="minorEastAsia"/>
          <w:szCs w:val="21"/>
        </w:rPr>
      </w:pPr>
    </w:p>
    <w:p w:rsidR="003A0E38" w:rsidRDefault="003A0E38" w:rsidP="00F739DC">
      <w:pPr>
        <w:spacing w:afterLines="50" w:line="600" w:lineRule="exact"/>
        <w:rPr>
          <w:rFonts w:asciiTheme="minorEastAsia" w:eastAsiaTheme="minorEastAsia" w:hAnsiTheme="minorEastAsia"/>
          <w:szCs w:val="21"/>
        </w:rPr>
      </w:pPr>
    </w:p>
    <w:tbl>
      <w:tblPr>
        <w:tblW w:w="10060" w:type="dxa"/>
        <w:tblInd w:w="89" w:type="dxa"/>
        <w:tblLook w:val="04A0"/>
      </w:tblPr>
      <w:tblGrid>
        <w:gridCol w:w="820"/>
        <w:gridCol w:w="980"/>
        <w:gridCol w:w="1100"/>
        <w:gridCol w:w="1260"/>
        <w:gridCol w:w="1880"/>
        <w:gridCol w:w="1900"/>
        <w:gridCol w:w="640"/>
        <w:gridCol w:w="640"/>
        <w:gridCol w:w="840"/>
      </w:tblGrid>
      <w:tr w:rsidR="003A0E38" w:rsidRPr="003A0E38" w:rsidTr="003A0E38">
        <w:trPr>
          <w:trHeight w:val="555"/>
        </w:trPr>
        <w:tc>
          <w:tcPr>
            <w:tcW w:w="10060" w:type="dxa"/>
            <w:gridSpan w:val="9"/>
            <w:tcBorders>
              <w:top w:val="nil"/>
              <w:left w:val="nil"/>
              <w:bottom w:val="nil"/>
              <w:right w:val="nil"/>
            </w:tcBorders>
            <w:shd w:val="clear" w:color="auto" w:fill="auto"/>
            <w:vAlign w:val="center"/>
            <w:hideMark/>
          </w:tcPr>
          <w:p w:rsidR="00F739DC" w:rsidRDefault="00F739DC" w:rsidP="003A0E38">
            <w:pPr>
              <w:widowControl/>
              <w:jc w:val="center"/>
              <w:rPr>
                <w:rFonts w:ascii="宋体" w:hAnsi="宋体" w:cs="Tahoma" w:hint="eastAsia"/>
                <w:b/>
                <w:bCs/>
                <w:color w:val="000000"/>
                <w:kern w:val="0"/>
                <w:sz w:val="36"/>
                <w:szCs w:val="36"/>
              </w:rPr>
            </w:pPr>
          </w:p>
          <w:p w:rsidR="00F739DC" w:rsidRDefault="00F739DC" w:rsidP="003A0E38">
            <w:pPr>
              <w:widowControl/>
              <w:jc w:val="center"/>
              <w:rPr>
                <w:rFonts w:ascii="宋体" w:hAnsi="宋体" w:cs="Tahoma" w:hint="eastAsia"/>
                <w:b/>
                <w:bCs/>
                <w:color w:val="000000"/>
                <w:kern w:val="0"/>
                <w:sz w:val="36"/>
                <w:szCs w:val="36"/>
              </w:rPr>
            </w:pPr>
          </w:p>
          <w:p w:rsidR="00F739DC" w:rsidRDefault="00F739DC" w:rsidP="003A0E38">
            <w:pPr>
              <w:widowControl/>
              <w:jc w:val="center"/>
              <w:rPr>
                <w:rFonts w:ascii="宋体" w:hAnsi="宋体" w:cs="Tahoma" w:hint="eastAsia"/>
                <w:b/>
                <w:bCs/>
                <w:color w:val="000000"/>
                <w:kern w:val="0"/>
                <w:sz w:val="36"/>
                <w:szCs w:val="36"/>
              </w:rPr>
            </w:pPr>
          </w:p>
          <w:p w:rsidR="00F739DC" w:rsidRDefault="00F739DC" w:rsidP="003A0E38">
            <w:pPr>
              <w:widowControl/>
              <w:jc w:val="center"/>
              <w:rPr>
                <w:rFonts w:ascii="宋体" w:hAnsi="宋体" w:cs="Tahoma" w:hint="eastAsia"/>
                <w:b/>
                <w:bCs/>
                <w:color w:val="000000"/>
                <w:kern w:val="0"/>
                <w:sz w:val="36"/>
                <w:szCs w:val="36"/>
              </w:rPr>
            </w:pPr>
          </w:p>
          <w:p w:rsidR="00F739DC" w:rsidRDefault="00F739DC" w:rsidP="003A0E38">
            <w:pPr>
              <w:widowControl/>
              <w:jc w:val="center"/>
              <w:rPr>
                <w:rFonts w:ascii="宋体" w:hAnsi="宋体" w:cs="Tahoma" w:hint="eastAsia"/>
                <w:b/>
                <w:bCs/>
                <w:color w:val="000000"/>
                <w:kern w:val="0"/>
                <w:sz w:val="36"/>
                <w:szCs w:val="36"/>
              </w:rPr>
            </w:pPr>
          </w:p>
          <w:p w:rsidR="003A0E38" w:rsidRPr="003A0E38" w:rsidRDefault="003A0E38" w:rsidP="003A0E38">
            <w:pPr>
              <w:widowControl/>
              <w:jc w:val="center"/>
              <w:rPr>
                <w:rFonts w:ascii="宋体" w:hAnsi="宋体" w:cs="Tahoma"/>
                <w:b/>
                <w:bCs/>
                <w:color w:val="000000"/>
                <w:kern w:val="0"/>
                <w:sz w:val="36"/>
                <w:szCs w:val="36"/>
              </w:rPr>
            </w:pPr>
            <w:r w:rsidRPr="003A0E38">
              <w:rPr>
                <w:rFonts w:ascii="宋体" w:hAnsi="宋体" w:cs="Tahoma" w:hint="eastAsia"/>
                <w:b/>
                <w:bCs/>
                <w:color w:val="000000"/>
                <w:kern w:val="0"/>
                <w:sz w:val="36"/>
                <w:szCs w:val="36"/>
              </w:rPr>
              <w:lastRenderedPageBreak/>
              <w:t>2022年度部门整体支出绩效自评表</w:t>
            </w:r>
          </w:p>
        </w:tc>
      </w:tr>
      <w:tr w:rsidR="003A0E38" w:rsidRPr="003A0E38" w:rsidTr="003A0E38">
        <w:trPr>
          <w:trHeight w:val="40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lastRenderedPageBreak/>
              <w:t>市级预算部门名称</w:t>
            </w:r>
          </w:p>
        </w:tc>
        <w:tc>
          <w:tcPr>
            <w:tcW w:w="9240" w:type="dxa"/>
            <w:gridSpan w:val="8"/>
            <w:tcBorders>
              <w:top w:val="single" w:sz="4" w:space="0" w:color="auto"/>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20"/>
                <w:szCs w:val="20"/>
              </w:rPr>
            </w:pPr>
            <w:r w:rsidRPr="003A0E38">
              <w:rPr>
                <w:rFonts w:ascii="仿宋" w:eastAsia="仿宋" w:hAnsi="仿宋" w:cs="Tahoma" w:hint="eastAsia"/>
                <w:color w:val="000000"/>
                <w:kern w:val="0"/>
                <w:sz w:val="20"/>
                <w:szCs w:val="20"/>
              </w:rPr>
              <w:t xml:space="preserve">株洲市市政工程维护中心　</w:t>
            </w:r>
          </w:p>
        </w:tc>
      </w:tr>
      <w:tr w:rsidR="003A0E38" w:rsidRPr="003A0E38" w:rsidTr="003A0E38">
        <w:trPr>
          <w:trHeight w:val="42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年度预</w:t>
            </w:r>
            <w:r w:rsidRPr="003A0E38">
              <w:rPr>
                <w:rFonts w:ascii="仿宋" w:eastAsia="仿宋" w:hAnsi="仿宋" w:cs="Tahoma" w:hint="eastAsia"/>
                <w:color w:val="000000"/>
                <w:kern w:val="0"/>
                <w:sz w:val="16"/>
                <w:szCs w:val="16"/>
              </w:rPr>
              <w:br/>
              <w:t>算申请</w:t>
            </w:r>
            <w:r w:rsidRPr="003A0E38">
              <w:rPr>
                <w:rFonts w:ascii="仿宋" w:eastAsia="仿宋" w:hAnsi="仿宋" w:cs="Tahoma" w:hint="eastAsia"/>
                <w:color w:val="000000"/>
                <w:kern w:val="0"/>
                <w:sz w:val="16"/>
                <w:szCs w:val="16"/>
              </w:rPr>
              <w:br/>
              <w:t>（万元）</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年初预算数</w:t>
            </w:r>
          </w:p>
        </w:tc>
        <w:tc>
          <w:tcPr>
            <w:tcW w:w="188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全年预算数</w:t>
            </w:r>
          </w:p>
        </w:tc>
        <w:tc>
          <w:tcPr>
            <w:tcW w:w="19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全年执行数</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分值</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执行率</w:t>
            </w:r>
          </w:p>
        </w:tc>
        <w:tc>
          <w:tcPr>
            <w:tcW w:w="8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得分</w:t>
            </w:r>
          </w:p>
        </w:tc>
      </w:tr>
      <w:tr w:rsidR="003A0E38" w:rsidRPr="003A0E38" w:rsidTr="003A0E38">
        <w:trPr>
          <w:trHeight w:val="375"/>
        </w:trPr>
        <w:tc>
          <w:tcPr>
            <w:tcW w:w="82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年度资金总额</w:t>
            </w:r>
          </w:p>
        </w:tc>
        <w:tc>
          <w:tcPr>
            <w:tcW w:w="126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5248.83</w:t>
            </w:r>
          </w:p>
        </w:tc>
        <w:tc>
          <w:tcPr>
            <w:tcW w:w="188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8068.54</w:t>
            </w:r>
          </w:p>
        </w:tc>
        <w:tc>
          <w:tcPr>
            <w:tcW w:w="19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8120.72</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10</w:t>
            </w:r>
          </w:p>
        </w:tc>
      </w:tr>
      <w:tr w:rsidR="003A0E38" w:rsidRPr="003A0E38" w:rsidTr="003A0E38">
        <w:trPr>
          <w:trHeight w:val="360"/>
        </w:trPr>
        <w:tc>
          <w:tcPr>
            <w:tcW w:w="82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5220" w:type="dxa"/>
            <w:gridSpan w:val="4"/>
            <w:tcBorders>
              <w:top w:val="single" w:sz="4" w:space="0" w:color="auto"/>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left"/>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按收入性质分：</w:t>
            </w:r>
          </w:p>
        </w:tc>
        <w:tc>
          <w:tcPr>
            <w:tcW w:w="4020" w:type="dxa"/>
            <w:gridSpan w:val="4"/>
            <w:tcBorders>
              <w:top w:val="single" w:sz="4" w:space="0" w:color="auto"/>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left"/>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按支出性质分：</w:t>
            </w:r>
          </w:p>
        </w:tc>
      </w:tr>
      <w:tr w:rsidR="003A0E38" w:rsidRPr="003A0E38" w:rsidTr="003A0E38">
        <w:trPr>
          <w:trHeight w:val="360"/>
        </w:trPr>
        <w:tc>
          <w:tcPr>
            <w:tcW w:w="82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5220" w:type="dxa"/>
            <w:gridSpan w:val="4"/>
            <w:tcBorders>
              <w:top w:val="single" w:sz="4" w:space="0" w:color="auto"/>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left"/>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其中：  一般公共预算：7979.25</w:t>
            </w:r>
          </w:p>
        </w:tc>
        <w:tc>
          <w:tcPr>
            <w:tcW w:w="4020" w:type="dxa"/>
            <w:gridSpan w:val="4"/>
            <w:tcBorders>
              <w:top w:val="single" w:sz="4" w:space="0" w:color="auto"/>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left"/>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其中：基本支出：2684.44</w:t>
            </w:r>
          </w:p>
        </w:tc>
      </w:tr>
      <w:tr w:rsidR="003A0E38" w:rsidRPr="003A0E38" w:rsidTr="003A0E38">
        <w:trPr>
          <w:trHeight w:val="360"/>
        </w:trPr>
        <w:tc>
          <w:tcPr>
            <w:tcW w:w="82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5220" w:type="dxa"/>
            <w:gridSpan w:val="4"/>
            <w:tcBorders>
              <w:top w:val="single" w:sz="4" w:space="0" w:color="auto"/>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left"/>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政府性基金拨款：0</w:t>
            </w:r>
          </w:p>
        </w:tc>
        <w:tc>
          <w:tcPr>
            <w:tcW w:w="4020" w:type="dxa"/>
            <w:gridSpan w:val="4"/>
            <w:tcBorders>
              <w:top w:val="single" w:sz="4" w:space="0" w:color="auto"/>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left"/>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项目支出：5346.99</w:t>
            </w:r>
          </w:p>
        </w:tc>
      </w:tr>
      <w:tr w:rsidR="003A0E38" w:rsidRPr="003A0E38" w:rsidTr="003A0E38">
        <w:trPr>
          <w:trHeight w:val="360"/>
        </w:trPr>
        <w:tc>
          <w:tcPr>
            <w:tcW w:w="82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5220" w:type="dxa"/>
            <w:gridSpan w:val="4"/>
            <w:tcBorders>
              <w:top w:val="single" w:sz="4" w:space="0" w:color="auto"/>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left"/>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纳入专户管理的非税收入拨款：0</w:t>
            </w:r>
          </w:p>
        </w:tc>
        <w:tc>
          <w:tcPr>
            <w:tcW w:w="4020" w:type="dxa"/>
            <w:gridSpan w:val="4"/>
            <w:tcBorders>
              <w:top w:val="single" w:sz="4" w:space="0" w:color="auto"/>
              <w:left w:val="nil"/>
              <w:bottom w:val="single" w:sz="4" w:space="0" w:color="auto"/>
              <w:right w:val="single" w:sz="4" w:space="0" w:color="000000"/>
            </w:tcBorders>
            <w:shd w:val="clear" w:color="auto" w:fill="auto"/>
            <w:vAlign w:val="center"/>
            <w:hideMark/>
          </w:tcPr>
          <w:p w:rsidR="003A0E38" w:rsidRPr="003A0E38" w:rsidRDefault="003A0E38" w:rsidP="003A0E38">
            <w:pPr>
              <w:widowControl/>
              <w:jc w:val="left"/>
              <w:rPr>
                <w:rFonts w:ascii="仿宋" w:eastAsia="仿宋" w:hAnsi="仿宋" w:cs="Tahoma"/>
                <w:kern w:val="0"/>
                <w:sz w:val="16"/>
                <w:szCs w:val="16"/>
              </w:rPr>
            </w:pPr>
            <w:r w:rsidRPr="003A0E38">
              <w:rPr>
                <w:rFonts w:ascii="仿宋" w:eastAsia="仿宋" w:hAnsi="仿宋" w:cs="Tahoma" w:hint="eastAsia"/>
                <w:kern w:val="0"/>
                <w:sz w:val="16"/>
                <w:szCs w:val="16"/>
              </w:rPr>
              <w:t>其他支出：89.29</w:t>
            </w:r>
          </w:p>
        </w:tc>
      </w:tr>
      <w:tr w:rsidR="003A0E38" w:rsidRPr="003A0E38" w:rsidTr="003A0E38">
        <w:trPr>
          <w:trHeight w:val="315"/>
        </w:trPr>
        <w:tc>
          <w:tcPr>
            <w:tcW w:w="82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5220" w:type="dxa"/>
            <w:gridSpan w:val="4"/>
            <w:tcBorders>
              <w:top w:val="single" w:sz="4" w:space="0" w:color="auto"/>
              <w:left w:val="nil"/>
              <w:bottom w:val="single" w:sz="4" w:space="0" w:color="auto"/>
              <w:right w:val="single" w:sz="4" w:space="0" w:color="000000"/>
            </w:tcBorders>
            <w:shd w:val="clear" w:color="auto" w:fill="auto"/>
            <w:vAlign w:val="center"/>
            <w:hideMark/>
          </w:tcPr>
          <w:p w:rsidR="003A0E38" w:rsidRPr="003A0E38" w:rsidRDefault="003A0E38" w:rsidP="003A0E38">
            <w:pPr>
              <w:widowControl/>
              <w:jc w:val="left"/>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其他资金：89.29</w:t>
            </w:r>
          </w:p>
        </w:tc>
        <w:tc>
          <w:tcPr>
            <w:tcW w:w="4020" w:type="dxa"/>
            <w:gridSpan w:val="4"/>
            <w:tcBorders>
              <w:top w:val="single" w:sz="4" w:space="0" w:color="auto"/>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w:t>
            </w:r>
          </w:p>
        </w:tc>
      </w:tr>
      <w:tr w:rsidR="003A0E38" w:rsidRPr="003A0E38" w:rsidTr="003A0E38">
        <w:trPr>
          <w:trHeight w:val="285"/>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年度总体目标</w:t>
            </w:r>
          </w:p>
        </w:tc>
        <w:tc>
          <w:tcPr>
            <w:tcW w:w="5220" w:type="dxa"/>
            <w:gridSpan w:val="4"/>
            <w:tcBorders>
              <w:top w:val="single" w:sz="4" w:space="0" w:color="auto"/>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预期目标</w:t>
            </w:r>
          </w:p>
        </w:tc>
        <w:tc>
          <w:tcPr>
            <w:tcW w:w="4020" w:type="dxa"/>
            <w:gridSpan w:val="4"/>
            <w:tcBorders>
              <w:top w:val="single" w:sz="4" w:space="0" w:color="auto"/>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实际完成情况　</w:t>
            </w:r>
          </w:p>
        </w:tc>
      </w:tr>
      <w:tr w:rsidR="003A0E38" w:rsidRPr="003A0E38" w:rsidTr="003A0E38">
        <w:trPr>
          <w:trHeight w:val="540"/>
        </w:trPr>
        <w:tc>
          <w:tcPr>
            <w:tcW w:w="82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5220" w:type="dxa"/>
            <w:gridSpan w:val="4"/>
            <w:tcBorders>
              <w:top w:val="single" w:sz="4" w:space="0" w:color="auto"/>
              <w:left w:val="nil"/>
              <w:bottom w:val="single" w:sz="4" w:space="0" w:color="auto"/>
              <w:right w:val="single" w:sz="4" w:space="0" w:color="000000"/>
            </w:tcBorders>
            <w:shd w:val="clear" w:color="auto" w:fill="auto"/>
            <w:vAlign w:val="center"/>
            <w:hideMark/>
          </w:tcPr>
          <w:p w:rsidR="003A0E38" w:rsidRPr="003A0E38" w:rsidRDefault="003A0E38" w:rsidP="003A0E38">
            <w:pPr>
              <w:widowControl/>
              <w:jc w:val="left"/>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完成道路、排水、桥梁通道涵洞设施的巡查、养护工作；完成桥梁常规检测工作；降低冰雪、内涝等灾害带来的损失，为市民出行保驾护航。　　</w:t>
            </w:r>
          </w:p>
        </w:tc>
        <w:tc>
          <w:tcPr>
            <w:tcW w:w="4020" w:type="dxa"/>
            <w:gridSpan w:val="4"/>
            <w:tcBorders>
              <w:top w:val="single" w:sz="4" w:space="0" w:color="auto"/>
              <w:left w:val="nil"/>
              <w:bottom w:val="single" w:sz="4" w:space="0" w:color="auto"/>
              <w:right w:val="single" w:sz="4" w:space="0" w:color="000000"/>
            </w:tcBorders>
            <w:shd w:val="clear" w:color="auto" w:fill="auto"/>
            <w:vAlign w:val="center"/>
            <w:hideMark/>
          </w:tcPr>
          <w:p w:rsidR="003A0E38" w:rsidRPr="003A0E38" w:rsidRDefault="003A0E38" w:rsidP="003A0E38">
            <w:pPr>
              <w:widowControl/>
              <w:jc w:val="left"/>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已完成。</w:t>
            </w:r>
          </w:p>
        </w:tc>
      </w:tr>
      <w:tr w:rsidR="003A0E38" w:rsidRPr="003A0E38" w:rsidTr="003A0E38">
        <w:trPr>
          <w:trHeight w:val="63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绩</w:t>
            </w:r>
            <w:r w:rsidRPr="003A0E38">
              <w:rPr>
                <w:rFonts w:ascii="仿宋" w:eastAsia="仿宋" w:hAnsi="仿宋" w:cs="Tahoma" w:hint="eastAsia"/>
                <w:color w:val="000000"/>
                <w:kern w:val="0"/>
                <w:sz w:val="16"/>
                <w:szCs w:val="16"/>
              </w:rPr>
              <w:br/>
              <w:t>效</w:t>
            </w:r>
            <w:r w:rsidRPr="003A0E38">
              <w:rPr>
                <w:rFonts w:ascii="仿宋" w:eastAsia="仿宋" w:hAnsi="仿宋" w:cs="Tahoma" w:hint="eastAsia"/>
                <w:color w:val="000000"/>
                <w:kern w:val="0"/>
                <w:sz w:val="16"/>
                <w:szCs w:val="16"/>
              </w:rPr>
              <w:br/>
              <w:t>指</w:t>
            </w:r>
            <w:r w:rsidRPr="003A0E38">
              <w:rPr>
                <w:rFonts w:ascii="仿宋" w:eastAsia="仿宋" w:hAnsi="仿宋" w:cs="Tahoma" w:hint="eastAsia"/>
                <w:color w:val="000000"/>
                <w:kern w:val="0"/>
                <w:sz w:val="16"/>
                <w:szCs w:val="16"/>
              </w:rPr>
              <w:br/>
              <w:t>标</w:t>
            </w:r>
          </w:p>
        </w:tc>
        <w:tc>
          <w:tcPr>
            <w:tcW w:w="98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一级指标</w:t>
            </w:r>
          </w:p>
        </w:tc>
        <w:tc>
          <w:tcPr>
            <w:tcW w:w="11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二级指标</w:t>
            </w:r>
          </w:p>
        </w:tc>
        <w:tc>
          <w:tcPr>
            <w:tcW w:w="126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三级指标</w:t>
            </w:r>
          </w:p>
        </w:tc>
        <w:tc>
          <w:tcPr>
            <w:tcW w:w="188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年度指标值</w:t>
            </w:r>
          </w:p>
        </w:tc>
        <w:tc>
          <w:tcPr>
            <w:tcW w:w="19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实际完成值</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分值</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得分</w:t>
            </w:r>
          </w:p>
        </w:tc>
        <w:tc>
          <w:tcPr>
            <w:tcW w:w="8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偏差原因分析及改进措施</w:t>
            </w:r>
          </w:p>
        </w:tc>
      </w:tr>
      <w:tr w:rsidR="003A0E38" w:rsidRPr="003A0E38" w:rsidTr="003A0E38">
        <w:trPr>
          <w:trHeight w:val="1200"/>
        </w:trPr>
        <w:tc>
          <w:tcPr>
            <w:tcW w:w="82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产出指标</w:t>
            </w:r>
            <w:r w:rsidRPr="003A0E38">
              <w:rPr>
                <w:rFonts w:ascii="仿宋" w:eastAsia="仿宋" w:hAnsi="仿宋" w:cs="Tahoma" w:hint="eastAsia"/>
                <w:color w:val="000000"/>
                <w:kern w:val="0"/>
                <w:sz w:val="16"/>
                <w:szCs w:val="16"/>
              </w:rPr>
              <w:br/>
            </w:r>
            <w:r w:rsidRPr="003A0E38">
              <w:rPr>
                <w:rFonts w:ascii="仿宋" w:eastAsia="仿宋" w:hAnsi="仿宋" w:cs="Tahoma" w:hint="eastAsia"/>
                <w:color w:val="000000"/>
                <w:kern w:val="0"/>
                <w:sz w:val="16"/>
                <w:szCs w:val="16"/>
              </w:rPr>
              <w:br/>
              <w:t>(50分)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数量指标</w:t>
            </w:r>
          </w:p>
        </w:tc>
        <w:tc>
          <w:tcPr>
            <w:tcW w:w="126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日常养护</w:t>
            </w:r>
          </w:p>
        </w:tc>
        <w:tc>
          <w:tcPr>
            <w:tcW w:w="188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left"/>
              <w:rPr>
                <w:rFonts w:ascii="仿宋" w:eastAsia="仿宋" w:hAnsi="仿宋" w:cs="Tahoma"/>
                <w:kern w:val="0"/>
                <w:sz w:val="16"/>
                <w:szCs w:val="16"/>
              </w:rPr>
            </w:pPr>
            <w:r w:rsidRPr="003A0E38">
              <w:rPr>
                <w:rFonts w:ascii="仿宋" w:eastAsia="仿宋" w:hAnsi="仿宋" w:cs="Tahoma" w:hint="eastAsia"/>
                <w:kern w:val="0"/>
                <w:sz w:val="16"/>
                <w:szCs w:val="16"/>
              </w:rPr>
              <w:t xml:space="preserve">　完成77条道路和排水的养护及83座桥梁（含7座跨江大桥）的养护和巡查，完成14条道路的空洞检测及38座桥梁的常规检测。</w:t>
            </w:r>
          </w:p>
        </w:tc>
        <w:tc>
          <w:tcPr>
            <w:tcW w:w="19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left"/>
              <w:rPr>
                <w:rFonts w:ascii="仿宋" w:eastAsia="仿宋" w:hAnsi="仿宋" w:cs="Tahoma"/>
                <w:kern w:val="0"/>
                <w:sz w:val="16"/>
                <w:szCs w:val="16"/>
              </w:rPr>
            </w:pPr>
            <w:r w:rsidRPr="003A0E38">
              <w:rPr>
                <w:rFonts w:ascii="仿宋" w:eastAsia="仿宋" w:hAnsi="仿宋" w:cs="Tahoma" w:hint="eastAsia"/>
                <w:kern w:val="0"/>
                <w:sz w:val="16"/>
                <w:szCs w:val="16"/>
              </w:rPr>
              <w:t xml:space="preserve">　完成77条道路和排水的养护及83座桥梁（含7座跨江大桥）的养护和巡查，完成14条道路的空洞检测及38座桥梁的常规检测。</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30</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w:t>
            </w:r>
          </w:p>
        </w:tc>
      </w:tr>
      <w:tr w:rsidR="003A0E38" w:rsidRPr="003A0E38" w:rsidTr="003A0E38">
        <w:trPr>
          <w:trHeight w:val="1890"/>
        </w:trPr>
        <w:tc>
          <w:tcPr>
            <w:tcW w:w="82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98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110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126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应急抢险处置</w:t>
            </w:r>
          </w:p>
        </w:tc>
        <w:tc>
          <w:tcPr>
            <w:tcW w:w="188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left"/>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安全、及时、高效完成辖区内的排涝、冰雪应急处置工作，方便市民安全出行。</w:t>
            </w:r>
          </w:p>
        </w:tc>
        <w:tc>
          <w:tcPr>
            <w:tcW w:w="19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left"/>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雨雪冰冻天气应急处置工作，共出动巡查人员360人次、处置车辆96余次、处置人员491人次、撒融雪剂88.5吨。排水防涝应急处置共计8次，出动巡查人员428人次、处置车辆77次、处置人员443人次。</w:t>
            </w:r>
          </w:p>
        </w:tc>
        <w:tc>
          <w:tcPr>
            <w:tcW w:w="64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64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8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w:t>
            </w:r>
          </w:p>
        </w:tc>
      </w:tr>
      <w:tr w:rsidR="003A0E38" w:rsidRPr="003A0E38" w:rsidTr="003A0E38">
        <w:trPr>
          <w:trHeight w:val="1005"/>
        </w:trPr>
        <w:tc>
          <w:tcPr>
            <w:tcW w:w="82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98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110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126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道路、排水和桥梁专项维修</w:t>
            </w:r>
          </w:p>
        </w:tc>
        <w:tc>
          <w:tcPr>
            <w:tcW w:w="188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left"/>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完成枫溪大道等10条道路的改造升级及株董路等2条排水专项维修和株洲大桥等4座桥梁的专项维修。</w:t>
            </w:r>
          </w:p>
        </w:tc>
        <w:tc>
          <w:tcPr>
            <w:tcW w:w="19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left"/>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完成枫溪大道等10条道路的改造升级及株董路等2条排水专项维修和株洲大桥等4座桥梁的专项维修。</w:t>
            </w:r>
          </w:p>
        </w:tc>
        <w:tc>
          <w:tcPr>
            <w:tcW w:w="64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64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8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w:t>
            </w:r>
          </w:p>
        </w:tc>
      </w:tr>
      <w:tr w:rsidR="003A0E38" w:rsidRPr="003A0E38" w:rsidTr="003A0E38">
        <w:trPr>
          <w:trHeight w:val="765"/>
        </w:trPr>
        <w:tc>
          <w:tcPr>
            <w:tcW w:w="82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98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110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126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城区基础设施创文整改专项</w:t>
            </w:r>
          </w:p>
        </w:tc>
        <w:tc>
          <w:tcPr>
            <w:tcW w:w="188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left"/>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对金沙桥等6座桥梁进行刷新，对车站路等13条路段进行提质整改。</w:t>
            </w:r>
          </w:p>
        </w:tc>
        <w:tc>
          <w:tcPr>
            <w:tcW w:w="19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left"/>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对金沙桥等6座桥梁进行刷新，对车站路等13条路段进行提质整改。</w:t>
            </w:r>
          </w:p>
        </w:tc>
        <w:tc>
          <w:tcPr>
            <w:tcW w:w="64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64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8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w:t>
            </w:r>
          </w:p>
        </w:tc>
      </w:tr>
      <w:tr w:rsidR="003A0E38" w:rsidRPr="003A0E38" w:rsidTr="003A0E38">
        <w:trPr>
          <w:trHeight w:val="525"/>
        </w:trPr>
        <w:tc>
          <w:tcPr>
            <w:tcW w:w="82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98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质量指标</w:t>
            </w:r>
          </w:p>
        </w:tc>
        <w:tc>
          <w:tcPr>
            <w:tcW w:w="126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项目验收合格率</w:t>
            </w:r>
          </w:p>
        </w:tc>
        <w:tc>
          <w:tcPr>
            <w:tcW w:w="188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100%</w:t>
            </w:r>
          </w:p>
        </w:tc>
        <w:tc>
          <w:tcPr>
            <w:tcW w:w="19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100%</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5</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w:t>
            </w:r>
          </w:p>
        </w:tc>
      </w:tr>
      <w:tr w:rsidR="003A0E38" w:rsidRPr="003A0E38" w:rsidTr="003A0E38">
        <w:trPr>
          <w:trHeight w:val="375"/>
        </w:trPr>
        <w:tc>
          <w:tcPr>
            <w:tcW w:w="82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98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110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126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市政设施完好率</w:t>
            </w:r>
          </w:p>
        </w:tc>
        <w:tc>
          <w:tcPr>
            <w:tcW w:w="188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98%以上</w:t>
            </w:r>
          </w:p>
        </w:tc>
        <w:tc>
          <w:tcPr>
            <w:tcW w:w="19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98%以上</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5</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w:t>
            </w:r>
          </w:p>
        </w:tc>
      </w:tr>
      <w:tr w:rsidR="003A0E38" w:rsidRPr="003A0E38" w:rsidTr="003A0E38">
        <w:trPr>
          <w:trHeight w:val="375"/>
        </w:trPr>
        <w:tc>
          <w:tcPr>
            <w:tcW w:w="82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98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11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时效指标</w:t>
            </w:r>
          </w:p>
        </w:tc>
        <w:tc>
          <w:tcPr>
            <w:tcW w:w="126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完成时间</w:t>
            </w:r>
          </w:p>
        </w:tc>
        <w:tc>
          <w:tcPr>
            <w:tcW w:w="188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2022年12月</w:t>
            </w:r>
          </w:p>
        </w:tc>
        <w:tc>
          <w:tcPr>
            <w:tcW w:w="19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2022年12月</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5</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w:t>
            </w:r>
          </w:p>
        </w:tc>
      </w:tr>
      <w:tr w:rsidR="003A0E38" w:rsidRPr="003A0E38" w:rsidTr="003A0E38">
        <w:trPr>
          <w:trHeight w:val="435"/>
        </w:trPr>
        <w:tc>
          <w:tcPr>
            <w:tcW w:w="82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98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11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成本指标</w:t>
            </w:r>
          </w:p>
        </w:tc>
        <w:tc>
          <w:tcPr>
            <w:tcW w:w="126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本年度成本控制总额</w:t>
            </w:r>
          </w:p>
        </w:tc>
        <w:tc>
          <w:tcPr>
            <w:tcW w:w="188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8068.54万元</w:t>
            </w:r>
          </w:p>
        </w:tc>
        <w:tc>
          <w:tcPr>
            <w:tcW w:w="19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8120.72万元</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5</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w:t>
            </w:r>
          </w:p>
        </w:tc>
      </w:tr>
      <w:tr w:rsidR="003A0E38" w:rsidRPr="003A0E38" w:rsidTr="003A0E38">
        <w:trPr>
          <w:trHeight w:val="345"/>
        </w:trPr>
        <w:tc>
          <w:tcPr>
            <w:tcW w:w="82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效益指标</w:t>
            </w:r>
            <w:r w:rsidRPr="003A0E38">
              <w:rPr>
                <w:rFonts w:ascii="仿宋" w:eastAsia="仿宋" w:hAnsi="仿宋" w:cs="Tahoma" w:hint="eastAsia"/>
                <w:color w:val="000000"/>
                <w:kern w:val="0"/>
                <w:sz w:val="16"/>
                <w:szCs w:val="16"/>
              </w:rPr>
              <w:br/>
            </w:r>
            <w:r w:rsidRPr="003A0E38">
              <w:rPr>
                <w:rFonts w:ascii="仿宋" w:eastAsia="仿宋" w:hAnsi="仿宋" w:cs="Tahoma" w:hint="eastAsia"/>
                <w:color w:val="000000"/>
                <w:kern w:val="0"/>
                <w:sz w:val="16"/>
                <w:szCs w:val="16"/>
              </w:rPr>
              <w:br/>
              <w:t>（30分）</w:t>
            </w:r>
          </w:p>
        </w:tc>
        <w:tc>
          <w:tcPr>
            <w:tcW w:w="11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经济效益指标</w:t>
            </w:r>
          </w:p>
        </w:tc>
        <w:tc>
          <w:tcPr>
            <w:tcW w:w="126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w:t>
            </w:r>
          </w:p>
        </w:tc>
      </w:tr>
      <w:tr w:rsidR="003A0E38" w:rsidRPr="003A0E38" w:rsidTr="003A0E38">
        <w:trPr>
          <w:trHeight w:val="615"/>
        </w:trPr>
        <w:tc>
          <w:tcPr>
            <w:tcW w:w="82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98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11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社会效益指标</w:t>
            </w:r>
          </w:p>
        </w:tc>
        <w:tc>
          <w:tcPr>
            <w:tcW w:w="126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市政设施建设运行</w:t>
            </w:r>
          </w:p>
        </w:tc>
        <w:tc>
          <w:tcPr>
            <w:tcW w:w="188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left"/>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通过对设施的维护确保了市民及车辆的正常通行。</w:t>
            </w:r>
          </w:p>
        </w:tc>
        <w:tc>
          <w:tcPr>
            <w:tcW w:w="19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已完成</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15</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w:t>
            </w:r>
          </w:p>
        </w:tc>
      </w:tr>
      <w:tr w:rsidR="003A0E38" w:rsidRPr="003A0E38" w:rsidTr="003A0E38">
        <w:trPr>
          <w:trHeight w:val="675"/>
        </w:trPr>
        <w:tc>
          <w:tcPr>
            <w:tcW w:w="82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98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11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生态效益指标</w:t>
            </w:r>
          </w:p>
        </w:tc>
        <w:tc>
          <w:tcPr>
            <w:tcW w:w="126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生态环境</w:t>
            </w:r>
          </w:p>
        </w:tc>
        <w:tc>
          <w:tcPr>
            <w:tcW w:w="188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left"/>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利用各类环保材料，环保美观，提升市政设施整体品质。</w:t>
            </w:r>
          </w:p>
        </w:tc>
        <w:tc>
          <w:tcPr>
            <w:tcW w:w="19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已完成　</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w:t>
            </w:r>
          </w:p>
        </w:tc>
      </w:tr>
      <w:tr w:rsidR="003A0E38" w:rsidRPr="003A0E38" w:rsidTr="003A0E38">
        <w:trPr>
          <w:trHeight w:val="510"/>
        </w:trPr>
        <w:tc>
          <w:tcPr>
            <w:tcW w:w="82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98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11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可持续影响指标</w:t>
            </w:r>
          </w:p>
        </w:tc>
        <w:tc>
          <w:tcPr>
            <w:tcW w:w="126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持续时间</w:t>
            </w:r>
          </w:p>
        </w:tc>
        <w:tc>
          <w:tcPr>
            <w:tcW w:w="188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left"/>
              <w:rPr>
                <w:rFonts w:ascii="仿宋" w:eastAsia="仿宋" w:hAnsi="仿宋" w:cs="Tahoma"/>
                <w:kern w:val="0"/>
                <w:sz w:val="16"/>
                <w:szCs w:val="16"/>
              </w:rPr>
            </w:pPr>
            <w:r w:rsidRPr="003A0E38">
              <w:rPr>
                <w:rFonts w:ascii="仿宋" w:eastAsia="仿宋" w:hAnsi="仿宋" w:cs="Tahoma" w:hint="eastAsia"/>
                <w:kern w:val="0"/>
                <w:sz w:val="16"/>
                <w:szCs w:val="16"/>
              </w:rPr>
              <w:t xml:space="preserve">  养护项目1年，中修专项3年。</w:t>
            </w:r>
          </w:p>
        </w:tc>
        <w:tc>
          <w:tcPr>
            <w:tcW w:w="19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left"/>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养护项目1年，中修专项3年。</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5</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w:t>
            </w:r>
          </w:p>
        </w:tc>
      </w:tr>
      <w:tr w:rsidR="003A0E38" w:rsidRPr="003A0E38" w:rsidTr="003A0E38">
        <w:trPr>
          <w:trHeight w:val="570"/>
        </w:trPr>
        <w:tc>
          <w:tcPr>
            <w:tcW w:w="820" w:type="dxa"/>
            <w:vMerge/>
            <w:tcBorders>
              <w:top w:val="nil"/>
              <w:left w:val="single" w:sz="4" w:space="0" w:color="auto"/>
              <w:bottom w:val="single" w:sz="4" w:space="0" w:color="auto"/>
              <w:right w:val="single" w:sz="4" w:space="0" w:color="auto"/>
            </w:tcBorders>
            <w:vAlign w:val="center"/>
            <w:hideMark/>
          </w:tcPr>
          <w:p w:rsidR="003A0E38" w:rsidRPr="003A0E38" w:rsidRDefault="003A0E38" w:rsidP="003A0E38">
            <w:pPr>
              <w:widowControl/>
              <w:jc w:val="left"/>
              <w:rPr>
                <w:rFonts w:ascii="仿宋" w:eastAsia="仿宋" w:hAnsi="仿宋" w:cs="Tahoma"/>
                <w:color w:val="000000"/>
                <w:kern w:val="0"/>
                <w:sz w:val="16"/>
                <w:szCs w:val="16"/>
              </w:rPr>
            </w:pPr>
          </w:p>
        </w:tc>
        <w:tc>
          <w:tcPr>
            <w:tcW w:w="98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满意度指标</w:t>
            </w:r>
            <w:r w:rsidRPr="003A0E38">
              <w:rPr>
                <w:rFonts w:ascii="仿宋" w:eastAsia="仿宋" w:hAnsi="仿宋" w:cs="Tahoma" w:hint="eastAsia"/>
                <w:color w:val="000000"/>
                <w:kern w:val="0"/>
                <w:sz w:val="16"/>
                <w:szCs w:val="16"/>
              </w:rPr>
              <w:br/>
              <w:t>（10分）</w:t>
            </w:r>
          </w:p>
        </w:tc>
        <w:tc>
          <w:tcPr>
            <w:tcW w:w="11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服务对象满意度指标</w:t>
            </w:r>
          </w:p>
        </w:tc>
        <w:tc>
          <w:tcPr>
            <w:tcW w:w="126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市民投诉处理率</w:t>
            </w:r>
          </w:p>
        </w:tc>
        <w:tc>
          <w:tcPr>
            <w:tcW w:w="188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100%</w:t>
            </w:r>
          </w:p>
        </w:tc>
        <w:tc>
          <w:tcPr>
            <w:tcW w:w="190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100%</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w:t>
            </w:r>
          </w:p>
        </w:tc>
      </w:tr>
      <w:tr w:rsidR="003A0E38" w:rsidRPr="003A0E38" w:rsidTr="003A0E38">
        <w:trPr>
          <w:trHeight w:val="360"/>
        </w:trPr>
        <w:tc>
          <w:tcPr>
            <w:tcW w:w="79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总分</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100</w:t>
            </w:r>
          </w:p>
        </w:tc>
        <w:tc>
          <w:tcPr>
            <w:tcW w:w="6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rsidR="003A0E38" w:rsidRPr="003A0E38" w:rsidRDefault="003A0E38" w:rsidP="003A0E38">
            <w:pPr>
              <w:widowControl/>
              <w:jc w:val="center"/>
              <w:rPr>
                <w:rFonts w:ascii="仿宋" w:eastAsia="仿宋" w:hAnsi="仿宋" w:cs="Tahoma"/>
                <w:color w:val="000000"/>
                <w:kern w:val="0"/>
                <w:sz w:val="16"/>
                <w:szCs w:val="16"/>
              </w:rPr>
            </w:pPr>
            <w:r w:rsidRPr="003A0E38">
              <w:rPr>
                <w:rFonts w:ascii="仿宋" w:eastAsia="仿宋" w:hAnsi="仿宋" w:cs="Tahoma" w:hint="eastAsia"/>
                <w:color w:val="000000"/>
                <w:kern w:val="0"/>
                <w:sz w:val="16"/>
                <w:szCs w:val="16"/>
              </w:rPr>
              <w:t xml:space="preserve">　</w:t>
            </w:r>
          </w:p>
        </w:tc>
      </w:tr>
    </w:tbl>
    <w:p w:rsidR="003A0E38" w:rsidRDefault="003A0E38" w:rsidP="003A0E38">
      <w:pPr>
        <w:spacing w:line="260" w:lineRule="exact"/>
        <w:jc w:val="left"/>
        <w:rPr>
          <w:rFonts w:asciiTheme="minorEastAsia" w:eastAsiaTheme="minorEastAsia" w:hAnsiTheme="minorEastAsia"/>
          <w:b/>
          <w:sz w:val="18"/>
          <w:szCs w:val="18"/>
        </w:rPr>
      </w:pPr>
      <w:r>
        <w:rPr>
          <w:rFonts w:asciiTheme="minorEastAsia" w:eastAsiaTheme="minorEastAsia" w:hAnsiTheme="minorEastAsia" w:hint="eastAsia"/>
          <w:sz w:val="18"/>
          <w:szCs w:val="18"/>
        </w:rPr>
        <w:t>备注：1.“执行率”=“全年执行数”/“全年预算数”；</w:t>
      </w:r>
    </w:p>
    <w:p w:rsidR="003A0E38" w:rsidRDefault="003A0E38" w:rsidP="003A0E38">
      <w:pPr>
        <w:spacing w:line="260" w:lineRule="exact"/>
        <w:ind w:left="540" w:hangingChars="300" w:hanging="540"/>
        <w:jc w:val="left"/>
        <w:rPr>
          <w:rFonts w:asciiTheme="minorEastAsia" w:eastAsiaTheme="minorEastAsia" w:hAnsiTheme="minorEastAsia"/>
          <w:sz w:val="18"/>
          <w:szCs w:val="18"/>
        </w:rPr>
        <w:sectPr w:rsidR="003A0E38" w:rsidSect="00F739DC">
          <w:footerReference w:type="even" r:id="rId8"/>
          <w:footerReference w:type="default" r:id="rId9"/>
          <w:pgSz w:w="11906" w:h="16838"/>
          <w:pgMar w:top="1361" w:right="1361" w:bottom="1361" w:left="1361" w:header="851" w:footer="964" w:gutter="0"/>
          <w:cols w:space="0"/>
          <w:titlePg/>
          <w:docGrid w:linePitch="312"/>
        </w:sectPr>
      </w:pPr>
      <w:r>
        <w:rPr>
          <w:rFonts w:asciiTheme="minorEastAsia" w:eastAsiaTheme="minorEastAsia" w:hAnsiTheme="minorEastAsia" w:hint="eastAsia"/>
          <w:sz w:val="18"/>
          <w:szCs w:val="18"/>
        </w:rPr>
        <w:t xml:space="preserve">  2.</w:t>
      </w:r>
      <w:r>
        <w:rPr>
          <w:rFonts w:asciiTheme="minorEastAsia" w:eastAsiaTheme="minorEastAsia" w:hAnsiTheme="minorEastAsia"/>
          <w:sz w:val="18"/>
          <w:szCs w:val="18"/>
        </w:rPr>
        <w:t>总分设置为100分</w:t>
      </w:r>
      <w:r>
        <w:rPr>
          <w:rFonts w:asciiTheme="minorEastAsia" w:eastAsiaTheme="minorEastAsia" w:hAnsiTheme="minorEastAsia" w:hint="eastAsia"/>
          <w:sz w:val="18"/>
          <w:szCs w:val="18"/>
        </w:rPr>
        <w:t>，</w:t>
      </w:r>
      <w:r>
        <w:rPr>
          <w:rFonts w:asciiTheme="minorEastAsia" w:eastAsiaTheme="minorEastAsia" w:hAnsiTheme="minorEastAsia"/>
          <w:sz w:val="18"/>
          <w:szCs w:val="18"/>
        </w:rPr>
        <w:t>等级划分为：90分（含）—100分为优，80分（含）—90分为良，60分（含</w:t>
      </w:r>
      <w:r>
        <w:rPr>
          <w:rFonts w:asciiTheme="minorEastAsia" w:eastAsiaTheme="minorEastAsia" w:hAnsiTheme="minorEastAsia" w:hint="eastAsia"/>
          <w:sz w:val="18"/>
          <w:szCs w:val="18"/>
        </w:rPr>
        <w:t>）</w:t>
      </w:r>
      <w:r>
        <w:rPr>
          <w:rFonts w:asciiTheme="minorEastAsia" w:eastAsiaTheme="minorEastAsia" w:hAnsiTheme="minorEastAsia"/>
          <w:sz w:val="18"/>
          <w:szCs w:val="18"/>
        </w:rPr>
        <w:t>—80分为</w:t>
      </w:r>
      <w:r>
        <w:rPr>
          <w:rFonts w:asciiTheme="minorEastAsia" w:eastAsiaTheme="minorEastAsia" w:hAnsiTheme="minorEastAsia" w:hint="eastAsia"/>
          <w:sz w:val="18"/>
          <w:szCs w:val="18"/>
        </w:rPr>
        <w:t>中</w:t>
      </w:r>
      <w:r>
        <w:rPr>
          <w:rFonts w:asciiTheme="minorEastAsia" w:eastAsiaTheme="minorEastAsia" w:hAnsiTheme="minorEastAsia"/>
          <w:sz w:val="18"/>
          <w:szCs w:val="18"/>
        </w:rPr>
        <w:t>，60分以下为差</w:t>
      </w:r>
    </w:p>
    <w:p w:rsidR="002B3B04" w:rsidRDefault="002B3B04">
      <w:pPr>
        <w:widowControl/>
        <w:jc w:val="left"/>
        <w:rPr>
          <w:rFonts w:asciiTheme="minorEastAsia" w:eastAsiaTheme="minorEastAsia" w:hAnsiTheme="minorEastAsia"/>
          <w:szCs w:val="21"/>
        </w:rPr>
      </w:pPr>
    </w:p>
    <w:p w:rsidR="002B3B04" w:rsidRDefault="002B3B04">
      <w:pPr>
        <w:widowControl/>
        <w:jc w:val="left"/>
        <w:rPr>
          <w:rFonts w:asciiTheme="minorEastAsia" w:eastAsiaTheme="minorEastAsia" w:hAnsiTheme="minorEastAsia"/>
          <w:szCs w:val="21"/>
        </w:rPr>
      </w:pPr>
    </w:p>
    <w:p w:rsidR="002B3B04" w:rsidRDefault="002B3B04">
      <w:pPr>
        <w:widowControl/>
        <w:jc w:val="left"/>
        <w:rPr>
          <w:rFonts w:asciiTheme="minorEastAsia" w:eastAsiaTheme="minorEastAsia" w:hAnsiTheme="minorEastAsia"/>
          <w:szCs w:val="21"/>
        </w:rPr>
      </w:pPr>
    </w:p>
    <w:p w:rsidR="002B3B04" w:rsidRDefault="002B3B04">
      <w:pPr>
        <w:rPr>
          <w:szCs w:val="32"/>
        </w:rPr>
      </w:pPr>
    </w:p>
    <w:sectPr w:rsidR="002B3B04" w:rsidSect="002B3B04">
      <w:headerReference w:type="default" r:id="rId10"/>
      <w:footerReference w:type="default" r:id="rId11"/>
      <w:pgSz w:w="11906" w:h="16838"/>
      <w:pgMar w:top="1440" w:right="1080" w:bottom="1440" w:left="108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9F9" w:rsidRDefault="00DB19F9" w:rsidP="002B3B04">
      <w:r>
        <w:separator/>
      </w:r>
    </w:p>
  </w:endnote>
  <w:endnote w:type="continuationSeparator" w:id="0">
    <w:p w:rsidR="00DB19F9" w:rsidRDefault="00DB19F9" w:rsidP="002B3B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38" w:rsidRDefault="002E7489">
    <w:pPr>
      <w:pStyle w:val="a4"/>
      <w:framePr w:wrap="around" w:vAnchor="text" w:hAnchor="margin" w:xAlign="outside" w:y="1"/>
      <w:rPr>
        <w:rStyle w:val="a7"/>
      </w:rPr>
    </w:pPr>
    <w:r>
      <w:rPr>
        <w:rStyle w:val="a7"/>
      </w:rPr>
      <w:fldChar w:fldCharType="begin"/>
    </w:r>
    <w:r w:rsidR="003A0E38">
      <w:rPr>
        <w:rStyle w:val="a7"/>
      </w:rPr>
      <w:instrText xml:space="preserve">PAGE  </w:instrText>
    </w:r>
    <w:r>
      <w:rPr>
        <w:rStyle w:val="a7"/>
      </w:rPr>
      <w:fldChar w:fldCharType="end"/>
    </w:r>
  </w:p>
  <w:p w:rsidR="003A0E38" w:rsidRDefault="003A0E3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38" w:rsidRDefault="003A0E38">
    <w:pPr>
      <w:pStyle w:val="a4"/>
      <w:framePr w:wrap="around" w:vAnchor="text" w:hAnchor="margin" w:xAlign="outside" w:y="1"/>
      <w:rPr>
        <w:rStyle w:val="a7"/>
        <w:rFonts w:ascii="宋体"/>
        <w:sz w:val="28"/>
        <w:szCs w:val="28"/>
      </w:rPr>
    </w:pPr>
    <w:r>
      <w:rPr>
        <w:rStyle w:val="a7"/>
        <w:rFonts w:ascii="宋体" w:hint="eastAsia"/>
        <w:color w:val="FFFFFF"/>
        <w:sz w:val="28"/>
        <w:szCs w:val="28"/>
      </w:rPr>
      <w:t>—</w:t>
    </w:r>
    <w:r>
      <w:rPr>
        <w:rStyle w:val="a7"/>
        <w:rFonts w:ascii="宋体" w:hint="eastAsia"/>
        <w:sz w:val="28"/>
        <w:szCs w:val="28"/>
      </w:rPr>
      <w:t xml:space="preserve">— </w:t>
    </w:r>
    <w:r w:rsidR="002E7489">
      <w:rPr>
        <w:rStyle w:val="a7"/>
        <w:rFonts w:ascii="宋体" w:hint="eastAsia"/>
        <w:sz w:val="28"/>
        <w:szCs w:val="28"/>
      </w:rPr>
      <w:fldChar w:fldCharType="begin"/>
    </w:r>
    <w:r>
      <w:rPr>
        <w:rStyle w:val="a7"/>
        <w:rFonts w:ascii="宋体" w:hint="eastAsia"/>
        <w:sz w:val="28"/>
        <w:szCs w:val="28"/>
      </w:rPr>
      <w:instrText xml:space="preserve">PAGE  </w:instrText>
    </w:r>
    <w:r w:rsidR="002E7489">
      <w:rPr>
        <w:rStyle w:val="a7"/>
        <w:rFonts w:ascii="宋体" w:hint="eastAsia"/>
        <w:sz w:val="28"/>
        <w:szCs w:val="28"/>
      </w:rPr>
      <w:fldChar w:fldCharType="separate"/>
    </w:r>
    <w:r w:rsidR="00F739DC">
      <w:rPr>
        <w:rStyle w:val="a7"/>
        <w:rFonts w:ascii="宋体"/>
        <w:noProof/>
        <w:sz w:val="28"/>
        <w:szCs w:val="28"/>
      </w:rPr>
      <w:t>4</w:t>
    </w:r>
    <w:r w:rsidR="002E7489">
      <w:rPr>
        <w:rStyle w:val="a7"/>
        <w:rFonts w:ascii="宋体" w:hint="eastAsia"/>
        <w:sz w:val="28"/>
        <w:szCs w:val="28"/>
      </w:rPr>
      <w:fldChar w:fldCharType="end"/>
    </w:r>
    <w:r>
      <w:rPr>
        <w:rStyle w:val="a7"/>
        <w:rFonts w:ascii="宋体" w:hint="eastAsia"/>
        <w:sz w:val="28"/>
        <w:szCs w:val="28"/>
      </w:rPr>
      <w:t xml:space="preserve"> —</w:t>
    </w:r>
    <w:r>
      <w:rPr>
        <w:rStyle w:val="a7"/>
        <w:rFonts w:ascii="宋体" w:hint="eastAsia"/>
        <w:color w:val="FFFFFF"/>
        <w:sz w:val="28"/>
        <w:szCs w:val="28"/>
      </w:rPr>
      <w:t>—</w:t>
    </w:r>
  </w:p>
  <w:p w:rsidR="003A0E38" w:rsidRDefault="003A0E38">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04" w:rsidRDefault="004D6B1C">
    <w:pPr>
      <w:pStyle w:val="a4"/>
      <w:tabs>
        <w:tab w:val="clear" w:pos="4153"/>
        <w:tab w:val="clear" w:pos="8306"/>
        <w:tab w:val="center" w:pos="4365"/>
      </w:tabs>
    </w:pPr>
    <w:r>
      <w:rPr>
        <w:lang w:val="zh-CN"/>
      </w:rPr>
      <w:tab/>
      <w:t xml:space="preserve"> </w:t>
    </w:r>
    <w:r w:rsidR="002E7489">
      <w:rPr>
        <w:b/>
        <w:bCs/>
      </w:rPr>
      <w:fldChar w:fldCharType="begin"/>
    </w:r>
    <w:r>
      <w:rPr>
        <w:b/>
        <w:bCs/>
      </w:rPr>
      <w:instrText>PAGE</w:instrText>
    </w:r>
    <w:r w:rsidR="002E7489">
      <w:rPr>
        <w:b/>
        <w:bCs/>
      </w:rPr>
      <w:fldChar w:fldCharType="separate"/>
    </w:r>
    <w:r w:rsidR="00F739DC">
      <w:rPr>
        <w:b/>
        <w:bCs/>
        <w:noProof/>
      </w:rPr>
      <w:t>14</w:t>
    </w:r>
    <w:r w:rsidR="002E7489">
      <w:rPr>
        <w:b/>
        <w:bCs/>
      </w:rPr>
      <w:fldChar w:fldCharType="end"/>
    </w:r>
    <w:r>
      <w:rPr>
        <w:lang w:val="zh-CN"/>
      </w:rPr>
      <w:t xml:space="preserve"> / </w:t>
    </w:r>
    <w:r w:rsidR="002E7489">
      <w:rPr>
        <w:b/>
        <w:bCs/>
      </w:rPr>
      <w:fldChar w:fldCharType="begin"/>
    </w:r>
    <w:r>
      <w:rPr>
        <w:b/>
        <w:bCs/>
      </w:rPr>
      <w:instrText>NUMPAGES</w:instrText>
    </w:r>
    <w:r w:rsidR="002E7489">
      <w:rPr>
        <w:b/>
        <w:bCs/>
      </w:rPr>
      <w:fldChar w:fldCharType="separate"/>
    </w:r>
    <w:r w:rsidR="00F739DC">
      <w:rPr>
        <w:b/>
        <w:bCs/>
        <w:noProof/>
      </w:rPr>
      <w:t>14</w:t>
    </w:r>
    <w:r w:rsidR="002E7489">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9F9" w:rsidRDefault="00DB19F9" w:rsidP="002B3B04">
      <w:r>
        <w:separator/>
      </w:r>
    </w:p>
  </w:footnote>
  <w:footnote w:type="continuationSeparator" w:id="0">
    <w:p w:rsidR="00DB19F9" w:rsidRDefault="00DB19F9" w:rsidP="002B3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04" w:rsidRDefault="002B3B0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2F664E"/>
    <w:multiLevelType w:val="singleLevel"/>
    <w:tmpl w:val="EE2F664E"/>
    <w:lvl w:ilvl="0">
      <w:start w:val="3"/>
      <w:numFmt w:val="decimal"/>
      <w:suff w:val="space"/>
      <w:lvlText w:val="%1."/>
      <w:lvlJc w:val="left"/>
    </w:lvl>
  </w:abstractNum>
  <w:abstractNum w:abstractNumId="1">
    <w:nsid w:val="4C922BEC"/>
    <w:multiLevelType w:val="singleLevel"/>
    <w:tmpl w:val="4C922BEC"/>
    <w:lvl w:ilvl="0">
      <w:start w:val="2"/>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2"/>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U1OGRiNWQ0NWE4ZmFiOTRmNDJjZDI2MDY3YzUyMjYifQ=="/>
  </w:docVars>
  <w:rsids>
    <w:rsidRoot w:val="002A15DD"/>
    <w:rsid w:val="00004B26"/>
    <w:rsid w:val="00004FD8"/>
    <w:rsid w:val="00005E68"/>
    <w:rsid w:val="00011F7D"/>
    <w:rsid w:val="0001541A"/>
    <w:rsid w:val="000227CD"/>
    <w:rsid w:val="0003436E"/>
    <w:rsid w:val="00034EAF"/>
    <w:rsid w:val="00042734"/>
    <w:rsid w:val="00057679"/>
    <w:rsid w:val="000601B1"/>
    <w:rsid w:val="00060538"/>
    <w:rsid w:val="000630F0"/>
    <w:rsid w:val="00067D67"/>
    <w:rsid w:val="00072471"/>
    <w:rsid w:val="0007350C"/>
    <w:rsid w:val="00090FBB"/>
    <w:rsid w:val="000911F2"/>
    <w:rsid w:val="0009445D"/>
    <w:rsid w:val="0009538B"/>
    <w:rsid w:val="000965D6"/>
    <w:rsid w:val="0009680A"/>
    <w:rsid w:val="000B166B"/>
    <w:rsid w:val="000B441D"/>
    <w:rsid w:val="000C2A05"/>
    <w:rsid w:val="000C7E80"/>
    <w:rsid w:val="000D2954"/>
    <w:rsid w:val="000D380E"/>
    <w:rsid w:val="000D49BF"/>
    <w:rsid w:val="000D692E"/>
    <w:rsid w:val="000D6C95"/>
    <w:rsid w:val="000E2891"/>
    <w:rsid w:val="000E568D"/>
    <w:rsid w:val="000F0196"/>
    <w:rsid w:val="00116EE7"/>
    <w:rsid w:val="00140E57"/>
    <w:rsid w:val="0016230A"/>
    <w:rsid w:val="0016707F"/>
    <w:rsid w:val="00172FF7"/>
    <w:rsid w:val="00177A3C"/>
    <w:rsid w:val="00184B37"/>
    <w:rsid w:val="00185755"/>
    <w:rsid w:val="00185D58"/>
    <w:rsid w:val="0019019A"/>
    <w:rsid w:val="00193188"/>
    <w:rsid w:val="00193ED6"/>
    <w:rsid w:val="001A1C27"/>
    <w:rsid w:val="001A773F"/>
    <w:rsid w:val="001B2566"/>
    <w:rsid w:val="001B3516"/>
    <w:rsid w:val="001B42D7"/>
    <w:rsid w:val="001B7F14"/>
    <w:rsid w:val="001D26A5"/>
    <w:rsid w:val="001D2C11"/>
    <w:rsid w:val="001E0D12"/>
    <w:rsid w:val="001E6FD4"/>
    <w:rsid w:val="001E7E44"/>
    <w:rsid w:val="002013B0"/>
    <w:rsid w:val="00204AC2"/>
    <w:rsid w:val="0021095A"/>
    <w:rsid w:val="00210EF3"/>
    <w:rsid w:val="002133EC"/>
    <w:rsid w:val="00227D86"/>
    <w:rsid w:val="00250B2F"/>
    <w:rsid w:val="002557A3"/>
    <w:rsid w:val="00263635"/>
    <w:rsid w:val="0026540F"/>
    <w:rsid w:val="002706A7"/>
    <w:rsid w:val="00277F23"/>
    <w:rsid w:val="00283E5A"/>
    <w:rsid w:val="00286C8D"/>
    <w:rsid w:val="00293FB7"/>
    <w:rsid w:val="002A15DD"/>
    <w:rsid w:val="002A30E1"/>
    <w:rsid w:val="002A6245"/>
    <w:rsid w:val="002B307B"/>
    <w:rsid w:val="002B3B04"/>
    <w:rsid w:val="002C3C29"/>
    <w:rsid w:val="002C7A0D"/>
    <w:rsid w:val="002D1986"/>
    <w:rsid w:val="002D7092"/>
    <w:rsid w:val="002E0E86"/>
    <w:rsid w:val="002E3480"/>
    <w:rsid w:val="002E4AFF"/>
    <w:rsid w:val="002E7489"/>
    <w:rsid w:val="002F77C7"/>
    <w:rsid w:val="00305B5A"/>
    <w:rsid w:val="00325FCA"/>
    <w:rsid w:val="00330891"/>
    <w:rsid w:val="00332EA8"/>
    <w:rsid w:val="00345F75"/>
    <w:rsid w:val="0034630A"/>
    <w:rsid w:val="00355329"/>
    <w:rsid w:val="003607B3"/>
    <w:rsid w:val="00364231"/>
    <w:rsid w:val="0036686C"/>
    <w:rsid w:val="00366A48"/>
    <w:rsid w:val="00370E4F"/>
    <w:rsid w:val="00376516"/>
    <w:rsid w:val="0039456A"/>
    <w:rsid w:val="003968EB"/>
    <w:rsid w:val="003A0E38"/>
    <w:rsid w:val="003A2A64"/>
    <w:rsid w:val="003B6332"/>
    <w:rsid w:val="003C1274"/>
    <w:rsid w:val="003E788A"/>
    <w:rsid w:val="003F1A55"/>
    <w:rsid w:val="003F4306"/>
    <w:rsid w:val="00401794"/>
    <w:rsid w:val="00406624"/>
    <w:rsid w:val="00415BFB"/>
    <w:rsid w:val="00416901"/>
    <w:rsid w:val="004223D5"/>
    <w:rsid w:val="00425D6F"/>
    <w:rsid w:val="00426755"/>
    <w:rsid w:val="00442417"/>
    <w:rsid w:val="00444E00"/>
    <w:rsid w:val="00450924"/>
    <w:rsid w:val="00453469"/>
    <w:rsid w:val="00467C65"/>
    <w:rsid w:val="004701FE"/>
    <w:rsid w:val="00493420"/>
    <w:rsid w:val="00495862"/>
    <w:rsid w:val="0049611E"/>
    <w:rsid w:val="004964FF"/>
    <w:rsid w:val="004B4B5B"/>
    <w:rsid w:val="004B6445"/>
    <w:rsid w:val="004B7B0E"/>
    <w:rsid w:val="004C0A50"/>
    <w:rsid w:val="004C2528"/>
    <w:rsid w:val="004D0F7D"/>
    <w:rsid w:val="004D2390"/>
    <w:rsid w:val="004D6B1C"/>
    <w:rsid w:val="004D75BA"/>
    <w:rsid w:val="004E13BB"/>
    <w:rsid w:val="004E30D7"/>
    <w:rsid w:val="004E4C4C"/>
    <w:rsid w:val="00506231"/>
    <w:rsid w:val="0051281E"/>
    <w:rsid w:val="00517235"/>
    <w:rsid w:val="00531509"/>
    <w:rsid w:val="00533FB5"/>
    <w:rsid w:val="0053650D"/>
    <w:rsid w:val="00537973"/>
    <w:rsid w:val="00550E15"/>
    <w:rsid w:val="0055304B"/>
    <w:rsid w:val="00554C9D"/>
    <w:rsid w:val="00557A43"/>
    <w:rsid w:val="005673FC"/>
    <w:rsid w:val="00574F28"/>
    <w:rsid w:val="00586E14"/>
    <w:rsid w:val="00591686"/>
    <w:rsid w:val="00594DF4"/>
    <w:rsid w:val="005966AF"/>
    <w:rsid w:val="005B0C11"/>
    <w:rsid w:val="005B1EAD"/>
    <w:rsid w:val="005B3A71"/>
    <w:rsid w:val="005B40F6"/>
    <w:rsid w:val="005B4D63"/>
    <w:rsid w:val="005B5EB9"/>
    <w:rsid w:val="005C1664"/>
    <w:rsid w:val="005C4070"/>
    <w:rsid w:val="005C79C4"/>
    <w:rsid w:val="005D02EF"/>
    <w:rsid w:val="005D273D"/>
    <w:rsid w:val="005D341F"/>
    <w:rsid w:val="005E1FA7"/>
    <w:rsid w:val="005E3F33"/>
    <w:rsid w:val="005E6ED1"/>
    <w:rsid w:val="005E7D76"/>
    <w:rsid w:val="00604420"/>
    <w:rsid w:val="006115BD"/>
    <w:rsid w:val="00611CD8"/>
    <w:rsid w:val="00621C1F"/>
    <w:rsid w:val="00622028"/>
    <w:rsid w:val="0062317B"/>
    <w:rsid w:val="006246E9"/>
    <w:rsid w:val="00624F3D"/>
    <w:rsid w:val="0063060F"/>
    <w:rsid w:val="006357BB"/>
    <w:rsid w:val="0064413F"/>
    <w:rsid w:val="00647713"/>
    <w:rsid w:val="00650D4E"/>
    <w:rsid w:val="006531BE"/>
    <w:rsid w:val="006542D6"/>
    <w:rsid w:val="00661535"/>
    <w:rsid w:val="0066207C"/>
    <w:rsid w:val="00673DE1"/>
    <w:rsid w:val="0068022F"/>
    <w:rsid w:val="006809D6"/>
    <w:rsid w:val="00680BFA"/>
    <w:rsid w:val="006839F9"/>
    <w:rsid w:val="00686AFF"/>
    <w:rsid w:val="00690A39"/>
    <w:rsid w:val="00694943"/>
    <w:rsid w:val="006A07A9"/>
    <w:rsid w:val="006A0B40"/>
    <w:rsid w:val="006B498A"/>
    <w:rsid w:val="006C1B3B"/>
    <w:rsid w:val="006C1FA2"/>
    <w:rsid w:val="006C2C65"/>
    <w:rsid w:val="006C3D7E"/>
    <w:rsid w:val="006D222A"/>
    <w:rsid w:val="006D3F7A"/>
    <w:rsid w:val="006D7C64"/>
    <w:rsid w:val="006E5D62"/>
    <w:rsid w:val="006F1B54"/>
    <w:rsid w:val="006F3313"/>
    <w:rsid w:val="006F78C1"/>
    <w:rsid w:val="00701119"/>
    <w:rsid w:val="0070187D"/>
    <w:rsid w:val="007042C4"/>
    <w:rsid w:val="00704B5E"/>
    <w:rsid w:val="007112F1"/>
    <w:rsid w:val="00713180"/>
    <w:rsid w:val="0072000E"/>
    <w:rsid w:val="00723B75"/>
    <w:rsid w:val="00723B88"/>
    <w:rsid w:val="00731B4B"/>
    <w:rsid w:val="00735859"/>
    <w:rsid w:val="00737AD5"/>
    <w:rsid w:val="00740EAA"/>
    <w:rsid w:val="00741CE8"/>
    <w:rsid w:val="007503A0"/>
    <w:rsid w:val="0075179B"/>
    <w:rsid w:val="0076395F"/>
    <w:rsid w:val="0076507C"/>
    <w:rsid w:val="00766831"/>
    <w:rsid w:val="0076744C"/>
    <w:rsid w:val="007704AF"/>
    <w:rsid w:val="00786829"/>
    <w:rsid w:val="00791D76"/>
    <w:rsid w:val="007A375B"/>
    <w:rsid w:val="007A38F0"/>
    <w:rsid w:val="007A5B08"/>
    <w:rsid w:val="007B0038"/>
    <w:rsid w:val="007B0E0C"/>
    <w:rsid w:val="007B1190"/>
    <w:rsid w:val="007C3E48"/>
    <w:rsid w:val="007C7B2F"/>
    <w:rsid w:val="007D2C83"/>
    <w:rsid w:val="007D37BD"/>
    <w:rsid w:val="007D46B6"/>
    <w:rsid w:val="007E436E"/>
    <w:rsid w:val="007E75FF"/>
    <w:rsid w:val="007F0678"/>
    <w:rsid w:val="008147E1"/>
    <w:rsid w:val="008227AE"/>
    <w:rsid w:val="0082475B"/>
    <w:rsid w:val="00832D88"/>
    <w:rsid w:val="00840474"/>
    <w:rsid w:val="008421D3"/>
    <w:rsid w:val="00843599"/>
    <w:rsid w:val="0084359A"/>
    <w:rsid w:val="008450CE"/>
    <w:rsid w:val="00852AD5"/>
    <w:rsid w:val="00871A97"/>
    <w:rsid w:val="00876348"/>
    <w:rsid w:val="00882FC3"/>
    <w:rsid w:val="008836E4"/>
    <w:rsid w:val="0089057E"/>
    <w:rsid w:val="008A001C"/>
    <w:rsid w:val="008A6552"/>
    <w:rsid w:val="008B1486"/>
    <w:rsid w:val="008B61C2"/>
    <w:rsid w:val="008C66D9"/>
    <w:rsid w:val="008D0AE7"/>
    <w:rsid w:val="008D5A8F"/>
    <w:rsid w:val="008D5D07"/>
    <w:rsid w:val="008E1605"/>
    <w:rsid w:val="008F333E"/>
    <w:rsid w:val="00901368"/>
    <w:rsid w:val="009123FF"/>
    <w:rsid w:val="00915D62"/>
    <w:rsid w:val="00922133"/>
    <w:rsid w:val="0093164C"/>
    <w:rsid w:val="0093260F"/>
    <w:rsid w:val="009334EE"/>
    <w:rsid w:val="00954D41"/>
    <w:rsid w:val="0096174B"/>
    <w:rsid w:val="009665BC"/>
    <w:rsid w:val="009711D8"/>
    <w:rsid w:val="009737E1"/>
    <w:rsid w:val="00982538"/>
    <w:rsid w:val="009830A5"/>
    <w:rsid w:val="00992477"/>
    <w:rsid w:val="009A050C"/>
    <w:rsid w:val="009A2CC9"/>
    <w:rsid w:val="009A2E13"/>
    <w:rsid w:val="009A3529"/>
    <w:rsid w:val="009A4B20"/>
    <w:rsid w:val="009B1054"/>
    <w:rsid w:val="009D069F"/>
    <w:rsid w:val="009D0A36"/>
    <w:rsid w:val="009D118E"/>
    <w:rsid w:val="009D43AC"/>
    <w:rsid w:val="009E2BF0"/>
    <w:rsid w:val="009E6130"/>
    <w:rsid w:val="009E6F11"/>
    <w:rsid w:val="009F5C8B"/>
    <w:rsid w:val="00A126DF"/>
    <w:rsid w:val="00A15980"/>
    <w:rsid w:val="00A30284"/>
    <w:rsid w:val="00A34489"/>
    <w:rsid w:val="00A36762"/>
    <w:rsid w:val="00A40C1C"/>
    <w:rsid w:val="00A413B8"/>
    <w:rsid w:val="00A458AE"/>
    <w:rsid w:val="00A520E5"/>
    <w:rsid w:val="00A60380"/>
    <w:rsid w:val="00A6305C"/>
    <w:rsid w:val="00A63836"/>
    <w:rsid w:val="00A63D74"/>
    <w:rsid w:val="00A6757B"/>
    <w:rsid w:val="00A71657"/>
    <w:rsid w:val="00A7232E"/>
    <w:rsid w:val="00A93922"/>
    <w:rsid w:val="00AA2A47"/>
    <w:rsid w:val="00AA7278"/>
    <w:rsid w:val="00AC07DE"/>
    <w:rsid w:val="00AC3081"/>
    <w:rsid w:val="00AC7DB9"/>
    <w:rsid w:val="00AD040F"/>
    <w:rsid w:val="00AD3E66"/>
    <w:rsid w:val="00AE73F3"/>
    <w:rsid w:val="00B16AB7"/>
    <w:rsid w:val="00B17A95"/>
    <w:rsid w:val="00B2169D"/>
    <w:rsid w:val="00B4077C"/>
    <w:rsid w:val="00B41F23"/>
    <w:rsid w:val="00B44E0A"/>
    <w:rsid w:val="00B5640B"/>
    <w:rsid w:val="00B62715"/>
    <w:rsid w:val="00B62FD2"/>
    <w:rsid w:val="00B67D7A"/>
    <w:rsid w:val="00B717EC"/>
    <w:rsid w:val="00B7285A"/>
    <w:rsid w:val="00B730D5"/>
    <w:rsid w:val="00B75E17"/>
    <w:rsid w:val="00B87A2F"/>
    <w:rsid w:val="00BA2910"/>
    <w:rsid w:val="00BA402B"/>
    <w:rsid w:val="00BA5C21"/>
    <w:rsid w:val="00BB1E76"/>
    <w:rsid w:val="00BB2014"/>
    <w:rsid w:val="00BB771E"/>
    <w:rsid w:val="00BC066C"/>
    <w:rsid w:val="00BC3377"/>
    <w:rsid w:val="00BC425C"/>
    <w:rsid w:val="00BD7C00"/>
    <w:rsid w:val="00BF3BB1"/>
    <w:rsid w:val="00BF4C81"/>
    <w:rsid w:val="00BF6536"/>
    <w:rsid w:val="00C006CB"/>
    <w:rsid w:val="00C033A9"/>
    <w:rsid w:val="00C25D8E"/>
    <w:rsid w:val="00C4109B"/>
    <w:rsid w:val="00C412A1"/>
    <w:rsid w:val="00C42805"/>
    <w:rsid w:val="00C51907"/>
    <w:rsid w:val="00C60BC6"/>
    <w:rsid w:val="00C7263E"/>
    <w:rsid w:val="00C76DD0"/>
    <w:rsid w:val="00C8171C"/>
    <w:rsid w:val="00C839C5"/>
    <w:rsid w:val="00C85577"/>
    <w:rsid w:val="00C85B77"/>
    <w:rsid w:val="00CA7F34"/>
    <w:rsid w:val="00CB1217"/>
    <w:rsid w:val="00CB78A1"/>
    <w:rsid w:val="00CD27C8"/>
    <w:rsid w:val="00CD38E2"/>
    <w:rsid w:val="00CD7259"/>
    <w:rsid w:val="00CF2347"/>
    <w:rsid w:val="00CF5658"/>
    <w:rsid w:val="00D0086F"/>
    <w:rsid w:val="00D00E80"/>
    <w:rsid w:val="00D040F5"/>
    <w:rsid w:val="00D2050B"/>
    <w:rsid w:val="00D429D8"/>
    <w:rsid w:val="00D4649C"/>
    <w:rsid w:val="00D537AF"/>
    <w:rsid w:val="00D56FDF"/>
    <w:rsid w:val="00D57515"/>
    <w:rsid w:val="00D73136"/>
    <w:rsid w:val="00D73477"/>
    <w:rsid w:val="00D774A6"/>
    <w:rsid w:val="00D77A5C"/>
    <w:rsid w:val="00D83F2C"/>
    <w:rsid w:val="00D87497"/>
    <w:rsid w:val="00DB19F9"/>
    <w:rsid w:val="00DC0631"/>
    <w:rsid w:val="00DC0F1F"/>
    <w:rsid w:val="00DC3067"/>
    <w:rsid w:val="00DC728F"/>
    <w:rsid w:val="00DD0E4F"/>
    <w:rsid w:val="00DE7628"/>
    <w:rsid w:val="00DF2737"/>
    <w:rsid w:val="00DF77E0"/>
    <w:rsid w:val="00E011F2"/>
    <w:rsid w:val="00E03A22"/>
    <w:rsid w:val="00E062C5"/>
    <w:rsid w:val="00E14629"/>
    <w:rsid w:val="00E202B1"/>
    <w:rsid w:val="00E210D8"/>
    <w:rsid w:val="00E24132"/>
    <w:rsid w:val="00E35620"/>
    <w:rsid w:val="00E36341"/>
    <w:rsid w:val="00E40DB6"/>
    <w:rsid w:val="00E40E19"/>
    <w:rsid w:val="00E46F06"/>
    <w:rsid w:val="00E46FC0"/>
    <w:rsid w:val="00E538C7"/>
    <w:rsid w:val="00E56BB0"/>
    <w:rsid w:val="00E705F5"/>
    <w:rsid w:val="00E70745"/>
    <w:rsid w:val="00E71F6D"/>
    <w:rsid w:val="00E83CD0"/>
    <w:rsid w:val="00E84615"/>
    <w:rsid w:val="00E925A4"/>
    <w:rsid w:val="00E9618D"/>
    <w:rsid w:val="00EB0767"/>
    <w:rsid w:val="00EB142E"/>
    <w:rsid w:val="00EB38D9"/>
    <w:rsid w:val="00EB7C80"/>
    <w:rsid w:val="00EF0A94"/>
    <w:rsid w:val="00EF0DD3"/>
    <w:rsid w:val="00EF267A"/>
    <w:rsid w:val="00EF26DD"/>
    <w:rsid w:val="00EF37B0"/>
    <w:rsid w:val="00F000EE"/>
    <w:rsid w:val="00F15576"/>
    <w:rsid w:val="00F223EC"/>
    <w:rsid w:val="00F27C94"/>
    <w:rsid w:val="00F47FCD"/>
    <w:rsid w:val="00F51D5D"/>
    <w:rsid w:val="00F536FE"/>
    <w:rsid w:val="00F739DC"/>
    <w:rsid w:val="00F77B42"/>
    <w:rsid w:val="00F81CA0"/>
    <w:rsid w:val="00F959F7"/>
    <w:rsid w:val="00FA2F9B"/>
    <w:rsid w:val="00FB4D76"/>
    <w:rsid w:val="00FB62C6"/>
    <w:rsid w:val="00FD48A8"/>
    <w:rsid w:val="00FE4807"/>
    <w:rsid w:val="00FF7BB4"/>
    <w:rsid w:val="09696EDA"/>
    <w:rsid w:val="09881C51"/>
    <w:rsid w:val="09C564F8"/>
    <w:rsid w:val="0A5B0CF4"/>
    <w:rsid w:val="0ABB5EEF"/>
    <w:rsid w:val="108C3F0F"/>
    <w:rsid w:val="10D36E45"/>
    <w:rsid w:val="13EC40A3"/>
    <w:rsid w:val="141D46A0"/>
    <w:rsid w:val="14262CDB"/>
    <w:rsid w:val="14EB7AF4"/>
    <w:rsid w:val="163635E6"/>
    <w:rsid w:val="16545E60"/>
    <w:rsid w:val="16905B2D"/>
    <w:rsid w:val="177D4CD6"/>
    <w:rsid w:val="1D415302"/>
    <w:rsid w:val="20816BA4"/>
    <w:rsid w:val="24E146DC"/>
    <w:rsid w:val="289B4635"/>
    <w:rsid w:val="2BB07F7C"/>
    <w:rsid w:val="2DF206FD"/>
    <w:rsid w:val="2EBD004C"/>
    <w:rsid w:val="30AF5A95"/>
    <w:rsid w:val="318A0E4C"/>
    <w:rsid w:val="32D92EF9"/>
    <w:rsid w:val="37277DD1"/>
    <w:rsid w:val="39881022"/>
    <w:rsid w:val="39CC73A6"/>
    <w:rsid w:val="3D6931FF"/>
    <w:rsid w:val="3D752212"/>
    <w:rsid w:val="3D8C57EF"/>
    <w:rsid w:val="41896CC8"/>
    <w:rsid w:val="42313D9C"/>
    <w:rsid w:val="437A348D"/>
    <w:rsid w:val="43965FF8"/>
    <w:rsid w:val="454C55B2"/>
    <w:rsid w:val="479C06F3"/>
    <w:rsid w:val="4EA9729B"/>
    <w:rsid w:val="529C765A"/>
    <w:rsid w:val="53E949F7"/>
    <w:rsid w:val="544F3A46"/>
    <w:rsid w:val="55810950"/>
    <w:rsid w:val="5985097A"/>
    <w:rsid w:val="5D87134B"/>
    <w:rsid w:val="5E631A00"/>
    <w:rsid w:val="69895046"/>
    <w:rsid w:val="6B9C00E3"/>
    <w:rsid w:val="6E734240"/>
    <w:rsid w:val="713D7FC7"/>
    <w:rsid w:val="71C13D5A"/>
    <w:rsid w:val="72355F1A"/>
    <w:rsid w:val="7350090A"/>
    <w:rsid w:val="75A26E26"/>
    <w:rsid w:val="75F82020"/>
    <w:rsid w:val="77E17522"/>
    <w:rsid w:val="7B2969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B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B3B04"/>
    <w:rPr>
      <w:sz w:val="18"/>
      <w:szCs w:val="18"/>
    </w:rPr>
  </w:style>
  <w:style w:type="paragraph" w:styleId="a4">
    <w:name w:val="footer"/>
    <w:basedOn w:val="a"/>
    <w:link w:val="Char0"/>
    <w:qFormat/>
    <w:rsid w:val="002B3B04"/>
    <w:pPr>
      <w:tabs>
        <w:tab w:val="center" w:pos="4153"/>
        <w:tab w:val="right" w:pos="8306"/>
      </w:tabs>
      <w:snapToGrid w:val="0"/>
      <w:jc w:val="left"/>
    </w:pPr>
    <w:rPr>
      <w:sz w:val="18"/>
      <w:szCs w:val="20"/>
    </w:rPr>
  </w:style>
  <w:style w:type="paragraph" w:styleId="a5">
    <w:name w:val="header"/>
    <w:basedOn w:val="a"/>
    <w:link w:val="Char1"/>
    <w:qFormat/>
    <w:rsid w:val="002B3B04"/>
    <w:pPr>
      <w:pBdr>
        <w:bottom w:val="single" w:sz="6" w:space="1" w:color="auto"/>
      </w:pBdr>
      <w:tabs>
        <w:tab w:val="center" w:pos="4153"/>
        <w:tab w:val="right" w:pos="8306"/>
      </w:tabs>
      <w:snapToGrid w:val="0"/>
      <w:jc w:val="center"/>
    </w:pPr>
    <w:rPr>
      <w:sz w:val="18"/>
      <w:szCs w:val="20"/>
    </w:rPr>
  </w:style>
  <w:style w:type="table" w:styleId="a6">
    <w:name w:val="Table Grid"/>
    <w:basedOn w:val="a1"/>
    <w:qFormat/>
    <w:rsid w:val="002B3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2B3B04"/>
  </w:style>
  <w:style w:type="character" w:customStyle="1" w:styleId="Char0">
    <w:name w:val="页脚 Char"/>
    <w:link w:val="a4"/>
    <w:qFormat/>
    <w:locked/>
    <w:rsid w:val="002B3B04"/>
    <w:rPr>
      <w:rFonts w:ascii="Calibri" w:eastAsia="宋体" w:hAnsi="Calibri"/>
      <w:kern w:val="2"/>
      <w:sz w:val="18"/>
      <w:lang w:val="en-US" w:eastAsia="zh-CN" w:bidi="ar-SA"/>
    </w:rPr>
  </w:style>
  <w:style w:type="character" w:customStyle="1" w:styleId="Char1">
    <w:name w:val="页眉 Char"/>
    <w:link w:val="a5"/>
    <w:qFormat/>
    <w:locked/>
    <w:rsid w:val="002B3B04"/>
    <w:rPr>
      <w:rFonts w:ascii="Calibri" w:eastAsia="宋体" w:hAnsi="Calibri"/>
      <w:kern w:val="2"/>
      <w:sz w:val="18"/>
      <w:lang w:val="en-US" w:eastAsia="zh-CN" w:bidi="ar-SA"/>
    </w:rPr>
  </w:style>
  <w:style w:type="character" w:customStyle="1" w:styleId="Char">
    <w:name w:val="批注框文本 Char"/>
    <w:link w:val="a3"/>
    <w:qFormat/>
    <w:rsid w:val="002B3B04"/>
    <w:rPr>
      <w:rFonts w:ascii="Calibri" w:hAnsi="Calibri"/>
      <w:kern w:val="2"/>
      <w:sz w:val="18"/>
      <w:szCs w:val="18"/>
    </w:rPr>
  </w:style>
  <w:style w:type="paragraph" w:customStyle="1" w:styleId="1">
    <w:name w:val="修订1"/>
    <w:uiPriority w:val="99"/>
    <w:semiHidden/>
    <w:qFormat/>
    <w:rsid w:val="002B3B04"/>
    <w:rPr>
      <w:kern w:val="2"/>
      <w:sz w:val="21"/>
      <w:szCs w:val="22"/>
    </w:rPr>
  </w:style>
  <w:style w:type="paragraph" w:customStyle="1" w:styleId="BodyText1I2">
    <w:name w:val="BodyText1I2"/>
    <w:basedOn w:val="BodyTextIndent"/>
    <w:qFormat/>
    <w:rsid w:val="002B3B04"/>
    <w:pPr>
      <w:ind w:firstLine="420"/>
    </w:pPr>
  </w:style>
  <w:style w:type="paragraph" w:customStyle="1" w:styleId="BodyTextIndent">
    <w:name w:val="BodyTextIndent"/>
    <w:basedOn w:val="a"/>
    <w:qFormat/>
    <w:rsid w:val="002B3B04"/>
    <w:pPr>
      <w:spacing w:after="120" w:line="400" w:lineRule="exact"/>
      <w:ind w:leftChars="200" w:left="420" w:firstLineChars="200" w:firstLine="643"/>
    </w:pPr>
    <w:rPr>
      <w:rFonts w:ascii="Times New Roman" w:hAnsi="Times New Roman"/>
      <w:sz w:val="24"/>
      <w:szCs w:val="24"/>
    </w:rPr>
  </w:style>
  <w:style w:type="character" w:customStyle="1" w:styleId="ca-31">
    <w:name w:val="ca-31"/>
    <w:qFormat/>
    <w:rsid w:val="002B3B04"/>
    <w:rPr>
      <w:rFonts w:ascii="仿宋_GB2312" w:eastAsia="仿宋_GB2312" w:hint="eastAsia"/>
      <w:sz w:val="32"/>
      <w:szCs w:val="32"/>
    </w:rPr>
  </w:style>
  <w:style w:type="paragraph" w:customStyle="1" w:styleId="10">
    <w:name w:val="列出段落1"/>
    <w:basedOn w:val="a"/>
    <w:qFormat/>
    <w:rsid w:val="002B3B04"/>
    <w:pPr>
      <w:ind w:firstLineChars="200" w:firstLine="420"/>
    </w:pPr>
  </w:style>
  <w:style w:type="paragraph" w:styleId="a8">
    <w:name w:val="List Paragraph"/>
    <w:basedOn w:val="a"/>
    <w:uiPriority w:val="99"/>
    <w:qFormat/>
    <w:rsid w:val="002B3B04"/>
    <w:pPr>
      <w:ind w:firstLineChars="200" w:firstLine="420"/>
    </w:pPr>
  </w:style>
</w:styles>
</file>

<file path=word/webSettings.xml><?xml version="1.0" encoding="utf-8"?>
<w:webSettings xmlns:r="http://schemas.openxmlformats.org/officeDocument/2006/relationships" xmlns:w="http://schemas.openxmlformats.org/wordprocessingml/2006/main">
  <w:divs>
    <w:div w:id="159851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FF7D66-2AC5-4FDD-8721-FBE26E44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14</Pages>
  <Words>1128</Words>
  <Characters>6432</Characters>
  <Application>Microsoft Office Word</Application>
  <DocSecurity>0</DocSecurity>
  <Lines>53</Lines>
  <Paragraphs>15</Paragraphs>
  <ScaleCrop>false</ScaleCrop>
  <Company>微软用户</Company>
  <LinksUpToDate>false</LinksUpToDate>
  <CharactersWithSpaces>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dc:title>
  <dc:creator>微软中国</dc:creator>
  <cp:lastModifiedBy>Administrator</cp:lastModifiedBy>
  <cp:revision>11</cp:revision>
  <cp:lastPrinted>2023-04-14T02:01:00Z</cp:lastPrinted>
  <dcterms:created xsi:type="dcterms:W3CDTF">2023-04-13T07:37:00Z</dcterms:created>
  <dcterms:modified xsi:type="dcterms:W3CDTF">2023-11-30T02:19:00Z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388D55F6394B483AAA98149C19D68C31</vt:lpwstr>
  </property>
</Properties>
</file>